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CA" w:rsidRPr="00461980" w:rsidRDefault="004734CA" w:rsidP="004734CA">
      <w:pPr>
        <w:jc w:val="center"/>
        <w:rPr>
          <w:rFonts w:cs="Calibri"/>
          <w:b/>
          <w:sz w:val="28"/>
          <w:szCs w:val="28"/>
        </w:rPr>
      </w:pPr>
      <w:r>
        <w:fldChar w:fldCharType="begin"/>
      </w:r>
      <w:r>
        <w:instrText xml:space="preserve"> HYPERLINK "file:///C:\\lquiroz\\AppData\\Local\\Microsoft\\Windows\\Temporary%20Internet%20Files\\Content.Outlook\\HBGSO9P3\\MODELO%20CTA%202013.pptx" </w:instrText>
      </w:r>
      <w:r>
        <w:fldChar w:fldCharType="separate"/>
      </w:r>
      <w:r w:rsidRPr="00461980">
        <w:rPr>
          <w:rFonts w:cs="Calibri"/>
          <w:b/>
          <w:color w:val="0000FF"/>
          <w:sz w:val="28"/>
          <w:szCs w:val="28"/>
          <w:u w:val="single"/>
        </w:rPr>
        <w:t>NOTAS DE GESTIÓN ADMINISTRATIVA</w:t>
      </w:r>
      <w:r>
        <w:rPr>
          <w:rFonts w:cs="Calibri"/>
          <w:b/>
          <w:color w:val="0000FF"/>
          <w:sz w:val="28"/>
          <w:szCs w:val="28"/>
          <w:u w:val="single"/>
        </w:rPr>
        <w:fldChar w:fldCharType="end"/>
      </w:r>
    </w:p>
    <w:p w:rsidR="004734CA" w:rsidRPr="00461980" w:rsidRDefault="004734CA" w:rsidP="004734CA">
      <w:pPr>
        <w:jc w:val="center"/>
        <w:rPr>
          <w:rFonts w:cs="Calibri"/>
          <w:b/>
          <w:sz w:val="28"/>
          <w:szCs w:val="28"/>
        </w:rPr>
      </w:pPr>
    </w:p>
    <w:p w:rsidR="004734CA" w:rsidRPr="00461980" w:rsidRDefault="004734CA" w:rsidP="004734CA">
      <w:pPr>
        <w:jc w:val="both"/>
        <w:rPr>
          <w:rFonts w:cs="Calibri"/>
        </w:rPr>
      </w:pPr>
    </w:p>
    <w:p w:rsidR="004734CA" w:rsidRPr="00461980" w:rsidRDefault="004734CA" w:rsidP="004734CA">
      <w:pPr>
        <w:numPr>
          <w:ilvl w:val="0"/>
          <w:numId w:val="20"/>
        </w:numPr>
        <w:jc w:val="center"/>
        <w:rPr>
          <w:rFonts w:cs="Calibri"/>
          <w:b/>
        </w:rPr>
      </w:pPr>
      <w:r w:rsidRPr="00461980">
        <w:rPr>
          <w:rFonts w:cs="Calibri"/>
          <w:b/>
        </w:rPr>
        <w:t>Introducción:</w:t>
      </w:r>
    </w:p>
    <w:p w:rsidR="004734CA" w:rsidRPr="00461980" w:rsidRDefault="004734CA" w:rsidP="004734CA">
      <w:pPr>
        <w:ind w:left="720"/>
        <w:rPr>
          <w:rFonts w:cs="Calibri"/>
        </w:rPr>
      </w:pPr>
    </w:p>
    <w:p w:rsidR="004734CA" w:rsidRPr="00461980" w:rsidRDefault="004734CA" w:rsidP="004734CA">
      <w:pPr>
        <w:jc w:val="both"/>
        <w:rPr>
          <w:rFonts w:cs="Calibri"/>
        </w:rPr>
      </w:pPr>
      <w:r w:rsidRPr="00461980">
        <w:rPr>
          <w:rFonts w:cs="Calibri"/>
        </w:rPr>
        <w:t xml:space="preserve">La Universidad realiza actividades Educativas </w:t>
      </w:r>
    </w:p>
    <w:p w:rsidR="004734CA" w:rsidRPr="00461980" w:rsidRDefault="004734CA" w:rsidP="004734CA">
      <w:pPr>
        <w:jc w:val="both"/>
        <w:rPr>
          <w:rFonts w:cs="Calibri"/>
        </w:rPr>
      </w:pPr>
    </w:p>
    <w:p w:rsidR="004734CA" w:rsidRPr="00461980" w:rsidRDefault="004734CA" w:rsidP="004734CA">
      <w:pPr>
        <w:numPr>
          <w:ilvl w:val="0"/>
          <w:numId w:val="20"/>
        </w:numPr>
        <w:jc w:val="center"/>
        <w:rPr>
          <w:rFonts w:cs="Calibri"/>
          <w:b/>
        </w:rPr>
      </w:pPr>
      <w:r w:rsidRPr="00461980">
        <w:rPr>
          <w:rFonts w:cs="Calibri"/>
          <w:b/>
        </w:rPr>
        <w:t>Describir el panorama Económico y Financiero:</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rPr>
          <w:rFonts w:cs="Calibri"/>
          <w:b/>
        </w:rPr>
      </w:pPr>
    </w:p>
    <w:p w:rsidR="004734CA" w:rsidRPr="00461980" w:rsidRDefault="004734CA" w:rsidP="004734CA">
      <w:pPr>
        <w:jc w:val="center"/>
        <w:rPr>
          <w:rFonts w:cs="Calibri"/>
          <w:b/>
        </w:rPr>
      </w:pPr>
      <w:r w:rsidRPr="00461980">
        <w:rPr>
          <w:rFonts w:cs="Calibri"/>
          <w:b/>
        </w:rPr>
        <w:t>3. Autorización e Historia:</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a) Fecha de creación del ente. 14 de septiembre de 2010</w:t>
      </w:r>
    </w:p>
    <w:p w:rsidR="004734CA" w:rsidRPr="00461980" w:rsidRDefault="004734CA" w:rsidP="004734CA">
      <w:pPr>
        <w:jc w:val="both"/>
        <w:rPr>
          <w:rFonts w:cs="Calibri"/>
        </w:rPr>
      </w:pPr>
      <w:r w:rsidRPr="00461980">
        <w:rPr>
          <w:rFonts w:cs="Calibri"/>
        </w:rPr>
        <w:t>b) Principales cambios en su estructura. Etapa “B” De 2 a 4 carreras, de 251 a 499 alumnos.</w:t>
      </w:r>
    </w:p>
    <w:p w:rsidR="004734CA" w:rsidRPr="00461980" w:rsidRDefault="004734CA" w:rsidP="004734CA">
      <w:pPr>
        <w:jc w:val="center"/>
        <w:rPr>
          <w:rFonts w:cs="Calibri"/>
          <w:b/>
        </w:rPr>
      </w:pPr>
    </w:p>
    <w:p w:rsidR="004734CA" w:rsidRPr="00461980" w:rsidRDefault="004734CA" w:rsidP="004734CA">
      <w:pPr>
        <w:jc w:val="center"/>
        <w:rPr>
          <w:rFonts w:cs="Calibri"/>
          <w:b/>
        </w:rPr>
      </w:pPr>
      <w:r w:rsidRPr="00461980">
        <w:rPr>
          <w:rFonts w:cs="Calibri"/>
          <w:b/>
        </w:rPr>
        <w:t>4. Organización y Objeto Social:</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a) Objeto social. Formar profesionistas de nivel superior universitario que sean productivos dentro de la sociedad de San Miguel de Allende.</w:t>
      </w:r>
    </w:p>
    <w:p w:rsidR="004734CA" w:rsidRPr="00461980" w:rsidRDefault="004734CA" w:rsidP="004734CA">
      <w:pPr>
        <w:jc w:val="both"/>
        <w:rPr>
          <w:rFonts w:cs="Calibri"/>
        </w:rPr>
      </w:pPr>
      <w:r w:rsidRPr="00461980">
        <w:rPr>
          <w:rFonts w:cs="Calibri"/>
        </w:rPr>
        <w:t>b) Principal actividad. Proveer de servicio educativo de calidad de nivel técnico superior universitario, y la continuidad a la licenciatura</w:t>
      </w:r>
    </w:p>
    <w:p w:rsidR="004734CA" w:rsidRPr="00461980" w:rsidRDefault="004734CA" w:rsidP="004734CA">
      <w:pPr>
        <w:jc w:val="both"/>
        <w:rPr>
          <w:rFonts w:cs="Calibri"/>
        </w:rPr>
      </w:pPr>
      <w:r w:rsidRPr="00461980">
        <w:rPr>
          <w:rFonts w:cs="Calibri"/>
        </w:rPr>
        <w:t>c) Ejercicio fiscal. Enero a Diciembre de 2015</w:t>
      </w:r>
    </w:p>
    <w:p w:rsidR="004734CA" w:rsidRPr="00461980" w:rsidRDefault="004734CA" w:rsidP="004734CA">
      <w:pPr>
        <w:jc w:val="both"/>
        <w:rPr>
          <w:rFonts w:cs="Calibri"/>
        </w:rPr>
      </w:pPr>
      <w:r w:rsidRPr="00461980">
        <w:rPr>
          <w:rFonts w:cs="Calibri"/>
        </w:rPr>
        <w:t>d) Régimen jurídico. Universidad Tecnológica del Estado de Guanajuato, Persona Moral sin fines de lucro.</w:t>
      </w:r>
    </w:p>
    <w:p w:rsidR="004734CA" w:rsidRPr="00461980" w:rsidRDefault="004734CA" w:rsidP="004734CA">
      <w:pPr>
        <w:jc w:val="both"/>
        <w:rPr>
          <w:rFonts w:cs="Calibri"/>
        </w:rPr>
      </w:pPr>
      <w:r w:rsidRPr="00461980">
        <w:rPr>
          <w:rFonts w:cs="Calibri"/>
        </w:rPr>
        <w:t>e) Consideraciones fiscales del ente: Presentar la declaración y pago provisional mensual de retenciones de Impuesto Sobre la Renta (ISR) por sueldos y salarios.</w:t>
      </w:r>
    </w:p>
    <w:p w:rsidR="004734CA" w:rsidRPr="00461980" w:rsidRDefault="004734CA" w:rsidP="004734CA">
      <w:pPr>
        <w:jc w:val="both"/>
        <w:rPr>
          <w:rFonts w:cs="Calibri"/>
        </w:rPr>
      </w:pPr>
      <w:r w:rsidRPr="00461980">
        <w:rPr>
          <w:rFonts w:cs="Calibri"/>
        </w:rPr>
        <w:t>Presentar la declaración anual de Impuesto Sobre la Renta (ISR) donde informan sobre los pagos y retenciones de servicios profesionales. (Personas Morales).</w:t>
      </w:r>
    </w:p>
    <w:p w:rsidR="004734CA" w:rsidRPr="00461980" w:rsidRDefault="004734CA" w:rsidP="004734CA">
      <w:pPr>
        <w:jc w:val="both"/>
        <w:rPr>
          <w:rFonts w:cs="Calibri"/>
        </w:rPr>
      </w:pPr>
      <w:r w:rsidRPr="00461980">
        <w:rPr>
          <w:rFonts w:cs="Calibri"/>
        </w:rPr>
        <w:t>Presentar la declaración anual donde se informe sobre las remuneraciones de los trabajadores que reciben sueldos y salarios y trabajadores asimilados a salarios.</w:t>
      </w:r>
    </w:p>
    <w:p w:rsidR="004734CA" w:rsidRPr="00461980" w:rsidRDefault="004734CA" w:rsidP="004734CA">
      <w:pPr>
        <w:jc w:val="both"/>
        <w:rPr>
          <w:rFonts w:cs="Calibri"/>
        </w:rPr>
      </w:pPr>
      <w:r w:rsidRPr="00461980">
        <w:rPr>
          <w:rFonts w:cs="Calibri"/>
        </w:rPr>
        <w:t>Presentar la declaración informativa anual de Subsidio para el Empleo.</w:t>
      </w:r>
    </w:p>
    <w:p w:rsidR="004734CA" w:rsidRPr="00461980" w:rsidRDefault="004734CA" w:rsidP="004734CA">
      <w:pPr>
        <w:jc w:val="both"/>
        <w:rPr>
          <w:rFonts w:cs="Calibri"/>
        </w:rPr>
      </w:pPr>
      <w:r w:rsidRPr="00461980">
        <w:rPr>
          <w:rFonts w:cs="Calibri"/>
        </w:rPr>
        <w:t>Presentar la declaración y pago provisional mensual de retenciones de Impuesto Sobre la Renta (ISR) por las retenciones realizadas  por servicios profesionales.</w:t>
      </w:r>
    </w:p>
    <w:p w:rsidR="004734CA" w:rsidRPr="00461980" w:rsidRDefault="004734CA" w:rsidP="004734CA">
      <w:pPr>
        <w:jc w:val="both"/>
        <w:rPr>
          <w:rFonts w:cs="Calibri"/>
        </w:rPr>
      </w:pPr>
      <w:r w:rsidRPr="00461980">
        <w:rPr>
          <w:rFonts w:cs="Calibri"/>
        </w:rPr>
        <w:t>Presentar la declaración informativa mensual de Proveedores por tasa del IVA e IEPS.</w:t>
      </w:r>
    </w:p>
    <w:p w:rsidR="004734CA" w:rsidRPr="00461980" w:rsidRDefault="004734CA" w:rsidP="004734CA">
      <w:pPr>
        <w:jc w:val="both"/>
        <w:rPr>
          <w:rFonts w:cs="Calibri"/>
        </w:rPr>
      </w:pPr>
      <w:r w:rsidRPr="00461980">
        <w:rPr>
          <w:rFonts w:cs="Calibri"/>
        </w:rPr>
        <w:t>Presentar la declaración y pago provisional mensual de retenciones de Impuesto Sobre la Renta (ISR) por las retenciones realizadas a los trabajadores asimilados a salarios.</w:t>
      </w:r>
    </w:p>
    <w:p w:rsidR="004734CA" w:rsidRPr="00461980" w:rsidRDefault="004734CA" w:rsidP="004734CA">
      <w:pPr>
        <w:jc w:val="both"/>
        <w:rPr>
          <w:rFonts w:cs="Calibri"/>
        </w:rPr>
      </w:pPr>
      <w:r w:rsidRPr="00461980">
        <w:rPr>
          <w:rFonts w:cs="Calibri"/>
        </w:rPr>
        <w:lastRenderedPageBreak/>
        <w:t>f) Estructura organizacional básica.</w:t>
      </w:r>
    </w:p>
    <w:p w:rsidR="004734CA" w:rsidRPr="00461980" w:rsidRDefault="004734CA" w:rsidP="004734CA">
      <w:pPr>
        <w:jc w:val="both"/>
        <w:rPr>
          <w:rFonts w:cs="Calibri"/>
        </w:rPr>
      </w:pPr>
      <w:r w:rsidRPr="00461980">
        <w:rPr>
          <w:rFonts w:cs="Calibri"/>
        </w:rPr>
        <w:t>g) Fideicomisos, mandatos y análogos de los cuales es fideicomitente o fiduciario.</w:t>
      </w:r>
    </w:p>
    <w:p w:rsidR="004734CA" w:rsidRPr="00461980" w:rsidRDefault="004734CA" w:rsidP="004734CA">
      <w:pPr>
        <w:jc w:val="both"/>
        <w:rPr>
          <w:rFonts w:cs="Calibri"/>
        </w:rPr>
      </w:pPr>
      <w:r w:rsidRPr="00461980">
        <w:rPr>
          <w:rFonts w:cs="Calibri"/>
        </w:rPr>
        <w:t>No se tienen fideicomisos.</w:t>
      </w:r>
    </w:p>
    <w:p w:rsidR="004734CA" w:rsidRPr="00461980" w:rsidRDefault="004734CA" w:rsidP="004734CA">
      <w:pPr>
        <w:jc w:val="both"/>
        <w:rPr>
          <w:rFonts w:cs="Calibri"/>
        </w:rPr>
      </w:pPr>
    </w:p>
    <w:p w:rsidR="004734CA" w:rsidRPr="00461980" w:rsidRDefault="004734CA" w:rsidP="004734CA">
      <w:pPr>
        <w:jc w:val="both"/>
        <w:rPr>
          <w:rFonts w:cs="Calibri"/>
        </w:rPr>
      </w:pPr>
      <w:r w:rsidRPr="00461980">
        <w:rPr>
          <w:rFonts w:cs="Calibri"/>
          <w:noProof/>
          <w:lang w:eastAsia="es-MX"/>
        </w:rPr>
        <w:lastRenderedPageBreak/>
        <w:drawing>
          <wp:inline distT="0" distB="0" distL="0" distR="0" wp14:anchorId="7E145850" wp14:editId="6D8CDFC3">
            <wp:extent cx="6477000" cy="6800850"/>
            <wp:effectExtent l="0" t="0" r="0" b="0"/>
            <wp:docPr id="1" name="Imagen 1" descr="2015102611363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026113636_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6800850"/>
                    </a:xfrm>
                    <a:prstGeom prst="rect">
                      <a:avLst/>
                    </a:prstGeom>
                    <a:noFill/>
                    <a:ln>
                      <a:noFill/>
                    </a:ln>
                  </pic:spPr>
                </pic:pic>
              </a:graphicData>
            </a:graphic>
          </wp:inline>
        </w:drawing>
      </w:r>
    </w:p>
    <w:p w:rsidR="004734CA" w:rsidRPr="00461980" w:rsidRDefault="004734CA" w:rsidP="004734CA">
      <w:pPr>
        <w:jc w:val="center"/>
        <w:rPr>
          <w:rFonts w:cs="Calibri"/>
          <w:b/>
        </w:rPr>
      </w:pPr>
      <w:r w:rsidRPr="00461980">
        <w:rPr>
          <w:rFonts w:cs="Calibri"/>
          <w:b/>
        </w:rPr>
        <w:lastRenderedPageBreak/>
        <w:t>5. Bases de Preparación de los Estados Financieros:</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a) Si se ha observado la normatividad emitida por el CONAC y las disposiciones legales aplicables.</w:t>
      </w:r>
    </w:p>
    <w:p w:rsidR="004734CA" w:rsidRPr="00461980" w:rsidRDefault="004734CA" w:rsidP="004734CA">
      <w:pPr>
        <w:jc w:val="both"/>
        <w:rPr>
          <w:rFonts w:cs="Calibri"/>
        </w:rPr>
      </w:pPr>
      <w:r w:rsidRPr="00461980">
        <w:rPr>
          <w:rFonts w:cs="Calibri"/>
        </w:rPr>
        <w:t>Las Bases de Preparación de los Estados Financieros observan en cierta medida la normatividad emitida por el CONAC y las disposiciones legales aplicables.</w:t>
      </w:r>
    </w:p>
    <w:p w:rsidR="004734CA" w:rsidRPr="00461980" w:rsidRDefault="004734CA" w:rsidP="004734CA">
      <w:pPr>
        <w:jc w:val="both"/>
        <w:rPr>
          <w:rFonts w:cs="Calibri"/>
        </w:rPr>
      </w:pPr>
      <w:r w:rsidRPr="00461980">
        <w:rPr>
          <w:rFonts w:cs="Calibri"/>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734CA" w:rsidRPr="00461980" w:rsidRDefault="004734CA" w:rsidP="004734CA">
      <w:pPr>
        <w:jc w:val="both"/>
        <w:rPr>
          <w:rFonts w:cs="Calibri"/>
        </w:rPr>
      </w:pPr>
      <w:r w:rsidRPr="00461980">
        <w:rPr>
          <w:rFonts w:cs="Calibri"/>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734CA" w:rsidRPr="00461980" w:rsidRDefault="004734CA" w:rsidP="004734CA">
      <w:pPr>
        <w:jc w:val="both"/>
        <w:rPr>
          <w:rFonts w:cs="Calibri"/>
        </w:rPr>
      </w:pPr>
      <w:r w:rsidRPr="00461980">
        <w:rPr>
          <w:rFonts w:cs="Calibri"/>
        </w:rPr>
        <w:t>c) Postulados básicos.</w:t>
      </w:r>
    </w:p>
    <w:p w:rsidR="004734CA" w:rsidRPr="00461980" w:rsidRDefault="004734CA" w:rsidP="004734CA">
      <w:pPr>
        <w:jc w:val="both"/>
        <w:rPr>
          <w:rFonts w:cs="Calibri"/>
        </w:rPr>
      </w:pPr>
      <w:r w:rsidRPr="00461980">
        <w:rPr>
          <w:rFonts w:cs="Calibri"/>
        </w:rPr>
        <w:t>Las Bases de Preparación de los Estados Financieros aplican los Postulados Básicos de Registro Contable, el devengo del ingreso, entre otros, aún se encuentra en fase de desarrollo de los diferentes rubros de la información financiera.</w:t>
      </w:r>
    </w:p>
    <w:p w:rsidR="004734CA" w:rsidRPr="00461980" w:rsidRDefault="004734CA" w:rsidP="004734CA">
      <w:pPr>
        <w:jc w:val="both"/>
        <w:rPr>
          <w:rFonts w:cs="Calibri"/>
        </w:rPr>
      </w:pPr>
      <w:r w:rsidRPr="00461980">
        <w:rPr>
          <w:rFonts w:cs="Calibri"/>
        </w:rPr>
        <w:t>d) Normatividad supletoria.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e) Para las entidades que por primera vez estén implementando la base devengado de acuerdo a la Ley de Contabilidad, deberán:</w:t>
      </w:r>
    </w:p>
    <w:p w:rsidR="004734CA" w:rsidRPr="00461980" w:rsidRDefault="004734CA" w:rsidP="004734CA">
      <w:pPr>
        <w:jc w:val="both"/>
        <w:rPr>
          <w:rFonts w:cs="Calibri"/>
        </w:rPr>
      </w:pPr>
      <w:r w:rsidRPr="00461980">
        <w:rPr>
          <w:rFonts w:cs="Calibri"/>
        </w:rPr>
        <w:t>‐Revelar las nuevas políticas de reconocimiento:</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‐Plan de implementación:</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‐Revelar los cambios en las políticas, la clasificación y medición de las mismas, así como su impacto en la información financiera: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‐Presentar los últimos estados financieros con la normatividad anteriormente utilizada con las nuevas políticas para fines de comparación en la transición a la base devengado.</w:t>
      </w:r>
    </w:p>
    <w:p w:rsidR="004734CA" w:rsidRPr="00461980" w:rsidRDefault="004734CA" w:rsidP="004734CA">
      <w:pPr>
        <w:jc w:val="both"/>
        <w:rPr>
          <w:rFonts w:cs="Calibri"/>
        </w:rPr>
      </w:pPr>
    </w:p>
    <w:p w:rsidR="004734CA" w:rsidRPr="00461980" w:rsidRDefault="004734CA" w:rsidP="004734CA">
      <w:pPr>
        <w:jc w:val="center"/>
        <w:rPr>
          <w:rFonts w:cs="Calibri"/>
          <w:b/>
        </w:rPr>
      </w:pPr>
      <w:r w:rsidRPr="00461980">
        <w:rPr>
          <w:rFonts w:cs="Calibri"/>
          <w:b/>
        </w:rPr>
        <w:t>6. Políticas de Contabilidad Significativas:</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a) Actualización:</w:t>
      </w:r>
    </w:p>
    <w:p w:rsidR="004734CA" w:rsidRPr="00461980" w:rsidRDefault="004734CA" w:rsidP="004734CA">
      <w:pPr>
        <w:jc w:val="both"/>
        <w:rPr>
          <w:rFonts w:cs="Calibri"/>
        </w:rPr>
      </w:pPr>
      <w:r w:rsidRPr="00461980">
        <w:rPr>
          <w:rFonts w:cs="Calibri"/>
        </w:rPr>
        <w:lastRenderedPageBreak/>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b) Informar sobre la realización de operaciones en el extranjero y de sus efectos en la información financiera gubernamental:</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c) Método de valuación de la inversión en acciones de Compañías subsidiarias no consolidadas y asociadas: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d) Sistema y método de valuación de inventarios y costo de lo vendido:</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e) Beneficios a empleados: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f) Provisiones: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g) Reservas:</w:t>
      </w:r>
    </w:p>
    <w:p w:rsidR="004734CA" w:rsidRPr="00461980" w:rsidRDefault="004734CA" w:rsidP="004734CA">
      <w:pPr>
        <w:jc w:val="both"/>
        <w:rPr>
          <w:rFonts w:cs="Calibri"/>
        </w:rPr>
      </w:pPr>
      <w:r w:rsidRPr="00461980">
        <w:rPr>
          <w:rFonts w:cs="Calibri"/>
        </w:rPr>
        <w:t>Se tiene una reserva para contingencias por un monto de $39, 451.14, la cual se utilizará en el momento que sea necesario mediante autorización del H. Consejo Directivo.</w:t>
      </w:r>
    </w:p>
    <w:p w:rsidR="004734CA" w:rsidRPr="00461980" w:rsidRDefault="004734CA" w:rsidP="004734CA">
      <w:pPr>
        <w:jc w:val="both"/>
        <w:rPr>
          <w:rFonts w:cs="Calibri"/>
        </w:rPr>
      </w:pPr>
      <w:r w:rsidRPr="00461980">
        <w:rPr>
          <w:rFonts w:cs="Calibri"/>
        </w:rPr>
        <w:t>h) Cambios en políticas contables y corrección de errores junto con la revelación de los efectos que se tendrá en la información financiera del ente público, ya sea retrospectivos o prospectivos:</w:t>
      </w:r>
    </w:p>
    <w:p w:rsidR="004734CA" w:rsidRPr="00461980" w:rsidRDefault="004734CA" w:rsidP="004734CA">
      <w:pPr>
        <w:jc w:val="both"/>
        <w:rPr>
          <w:rFonts w:cs="Calibri"/>
        </w:rPr>
      </w:pPr>
      <w:r w:rsidRPr="00461980">
        <w:rPr>
          <w:rFonts w:cs="Calibri"/>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w:t>
      </w:r>
    </w:p>
    <w:p w:rsidR="004734CA" w:rsidRPr="00461980" w:rsidRDefault="004734CA" w:rsidP="004734CA">
      <w:pPr>
        <w:jc w:val="both"/>
        <w:rPr>
          <w:rFonts w:cs="Calibri"/>
        </w:rPr>
      </w:pPr>
      <w:r w:rsidRPr="00461980">
        <w:rPr>
          <w:rFonts w:cs="Calibri"/>
        </w:rPr>
        <w:t>i) Reclasificaciones:</w:t>
      </w:r>
    </w:p>
    <w:p w:rsidR="004734CA" w:rsidRPr="00461980" w:rsidRDefault="004734CA" w:rsidP="004734CA">
      <w:pPr>
        <w:jc w:val="both"/>
        <w:rPr>
          <w:rFonts w:cs="Calibri"/>
        </w:rPr>
      </w:pPr>
      <w:r w:rsidRPr="00461980">
        <w:rPr>
          <w:rFonts w:cs="Calibri"/>
        </w:rPr>
        <w:t>j) Depuración y cancelación de saldos:</w:t>
      </w:r>
    </w:p>
    <w:p w:rsidR="004734CA" w:rsidRPr="00461980" w:rsidRDefault="004734CA" w:rsidP="004734CA">
      <w:pPr>
        <w:jc w:val="both"/>
        <w:rPr>
          <w:rFonts w:cs="Calibri"/>
        </w:rPr>
      </w:pPr>
      <w:r w:rsidRPr="00461980">
        <w:rPr>
          <w:rFonts w:cs="Calibri"/>
        </w:rPr>
        <w:t>Se está llevando un análisis y depuración de las cuentas deudoras y acreedoras.</w:t>
      </w:r>
    </w:p>
    <w:p w:rsidR="004734CA" w:rsidRPr="00461980" w:rsidRDefault="004734CA" w:rsidP="004734CA">
      <w:pPr>
        <w:jc w:val="both"/>
        <w:rPr>
          <w:rFonts w:cs="Calibri"/>
          <w:b/>
        </w:rPr>
      </w:pPr>
    </w:p>
    <w:p w:rsidR="004734CA" w:rsidRPr="00461980" w:rsidRDefault="004734CA" w:rsidP="004734CA">
      <w:pPr>
        <w:jc w:val="center"/>
        <w:rPr>
          <w:rFonts w:cs="Calibri"/>
          <w:b/>
        </w:rPr>
      </w:pPr>
      <w:r w:rsidRPr="00461980">
        <w:rPr>
          <w:rFonts w:cs="Calibri"/>
          <w:b/>
        </w:rPr>
        <w:t>7. Posición en Moneda Extranjera y Protección por Riesgo Cambiario:</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a) Activos en moneda extranjera: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lastRenderedPageBreak/>
        <w:t>b) Pasivos en moneda extranjera: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c) Posición en moneda extranjera: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d) Tipo de cambio:</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e) Equivalente en moneda nacional:</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Lo anterior por cada tipo de moneda extranjera que se encuentre en los rubros de activo y pasivo.</w:t>
      </w:r>
    </w:p>
    <w:p w:rsidR="004734CA" w:rsidRPr="00461980" w:rsidRDefault="004734CA" w:rsidP="004734CA">
      <w:pPr>
        <w:jc w:val="both"/>
        <w:rPr>
          <w:rFonts w:cs="Calibri"/>
        </w:rPr>
      </w:pPr>
      <w:r w:rsidRPr="00461980">
        <w:rPr>
          <w:rFonts w:cs="Calibri"/>
        </w:rPr>
        <w:t>Adicionalmente se informará sobre los métodos de protección de riesgo por variaciones en el tipo de cambio.</w:t>
      </w:r>
    </w:p>
    <w:p w:rsidR="004734CA" w:rsidRPr="00461980" w:rsidRDefault="004734CA" w:rsidP="004734CA">
      <w:pPr>
        <w:jc w:val="both"/>
        <w:rPr>
          <w:rFonts w:cs="Calibri"/>
        </w:rPr>
      </w:pPr>
    </w:p>
    <w:p w:rsidR="004734CA" w:rsidRPr="00461980" w:rsidRDefault="004734CA" w:rsidP="004734CA">
      <w:pPr>
        <w:jc w:val="center"/>
        <w:rPr>
          <w:rFonts w:cs="Calibri"/>
          <w:b/>
        </w:rPr>
      </w:pPr>
      <w:r w:rsidRPr="00461980">
        <w:rPr>
          <w:rFonts w:cs="Calibri"/>
          <w:b/>
        </w:rPr>
        <w:t>8. Reporte Analítico del Activo:</w:t>
      </w:r>
    </w:p>
    <w:p w:rsidR="004734CA" w:rsidRPr="00461980" w:rsidRDefault="004734CA" w:rsidP="004734CA">
      <w:pPr>
        <w:jc w:val="both"/>
        <w:rPr>
          <w:rFonts w:cs="Calibri"/>
        </w:rPr>
      </w:pPr>
      <w:r w:rsidRPr="00461980">
        <w:rPr>
          <w:rFonts w:cs="Calibri"/>
        </w:rPr>
        <w:t>a) Vida útil o porcentajes de depreciación, deterioro o amortización utilizados en los diferentes tipos de activos:</w:t>
      </w:r>
    </w:p>
    <w:p w:rsidR="004734CA" w:rsidRPr="00461980" w:rsidRDefault="004734CA" w:rsidP="004734CA">
      <w:pPr>
        <w:jc w:val="both"/>
        <w:rPr>
          <w:rFonts w:cs="Calibri"/>
        </w:rPr>
      </w:pPr>
    </w:p>
    <w:p w:rsidR="004734CA" w:rsidRPr="00461980" w:rsidRDefault="004734CA" w:rsidP="004734CA">
      <w:pPr>
        <w:jc w:val="both"/>
        <w:rPr>
          <w:rFonts w:cs="Calibri"/>
        </w:rPr>
      </w:pPr>
    </w:p>
    <w:p w:rsidR="004734CA" w:rsidRPr="00461980" w:rsidRDefault="004734CA" w:rsidP="004734CA">
      <w:pPr>
        <w:jc w:val="both"/>
        <w:rPr>
          <w:rFonts w:cs="Calibri"/>
        </w:rPr>
      </w:pPr>
    </w:p>
    <w:tbl>
      <w:tblPr>
        <w:tblW w:w="9781" w:type="dxa"/>
        <w:tblInd w:w="70" w:type="dxa"/>
        <w:tblLayout w:type="fixed"/>
        <w:tblCellMar>
          <w:left w:w="70" w:type="dxa"/>
          <w:right w:w="70" w:type="dxa"/>
        </w:tblCellMar>
        <w:tblLook w:val="04A0" w:firstRow="1" w:lastRow="0" w:firstColumn="1" w:lastColumn="0" w:noHBand="0" w:noVBand="1"/>
      </w:tblPr>
      <w:tblGrid>
        <w:gridCol w:w="956"/>
        <w:gridCol w:w="5990"/>
        <w:gridCol w:w="993"/>
        <w:gridCol w:w="992"/>
        <w:gridCol w:w="850"/>
      </w:tblGrid>
      <w:tr w:rsidR="004734CA" w:rsidRPr="00461980" w:rsidTr="007C4FAB">
        <w:trPr>
          <w:trHeight w:val="390"/>
        </w:trPr>
        <w:tc>
          <w:tcPr>
            <w:tcW w:w="956" w:type="dxa"/>
            <w:tcBorders>
              <w:top w:val="nil"/>
              <w:left w:val="nil"/>
              <w:bottom w:val="nil"/>
              <w:right w:val="nil"/>
            </w:tcBorders>
            <w:shd w:val="clear" w:color="auto" w:fill="auto"/>
            <w:noWrap/>
            <w:vAlign w:val="bottom"/>
            <w:hideMark/>
          </w:tcPr>
          <w:p w:rsidR="004734CA" w:rsidRPr="00461980" w:rsidRDefault="004734CA" w:rsidP="007C4FAB">
            <w:pPr>
              <w:jc w:val="both"/>
              <w:rPr>
                <w:rFonts w:cs="Calibri"/>
              </w:rPr>
            </w:pPr>
          </w:p>
        </w:tc>
        <w:tc>
          <w:tcPr>
            <w:tcW w:w="5990" w:type="dxa"/>
            <w:tcBorders>
              <w:top w:val="nil"/>
              <w:left w:val="nil"/>
              <w:bottom w:val="nil"/>
              <w:right w:val="nil"/>
            </w:tcBorders>
            <w:shd w:val="clear" w:color="auto" w:fill="auto"/>
            <w:noWrap/>
            <w:vAlign w:val="bottom"/>
            <w:hideMark/>
          </w:tcPr>
          <w:p w:rsidR="004734CA" w:rsidRPr="00461980" w:rsidRDefault="004734CA" w:rsidP="007C4FAB">
            <w:pPr>
              <w:jc w:val="both"/>
              <w:rPr>
                <w:rFonts w:cs="Calibri"/>
              </w:rPr>
            </w:pPr>
          </w:p>
        </w:tc>
        <w:tc>
          <w:tcPr>
            <w:tcW w:w="2835" w:type="dxa"/>
            <w:gridSpan w:val="3"/>
            <w:tcBorders>
              <w:top w:val="nil"/>
              <w:left w:val="nil"/>
              <w:bottom w:val="single" w:sz="8" w:space="0" w:color="auto"/>
              <w:right w:val="nil"/>
            </w:tcBorders>
            <w:shd w:val="clear" w:color="000000" w:fill="31849B"/>
            <w:vAlign w:val="bottom"/>
            <w:hideMark/>
          </w:tcPr>
          <w:p w:rsidR="004734CA" w:rsidRPr="00461980" w:rsidRDefault="004734CA" w:rsidP="007C4FAB">
            <w:pPr>
              <w:jc w:val="both"/>
              <w:rPr>
                <w:rFonts w:cs="Calibri"/>
                <w:b/>
                <w:bCs/>
              </w:rPr>
            </w:pPr>
            <w:r w:rsidRPr="00461980">
              <w:rPr>
                <w:rFonts w:cs="Calibri"/>
                <w:b/>
                <w:bCs/>
              </w:rPr>
              <w:t xml:space="preserve">DEPRECIACION </w:t>
            </w:r>
          </w:p>
        </w:tc>
      </w:tr>
      <w:tr w:rsidR="004734CA" w:rsidRPr="00461980" w:rsidTr="007C4FAB">
        <w:trPr>
          <w:trHeight w:val="615"/>
        </w:trPr>
        <w:tc>
          <w:tcPr>
            <w:tcW w:w="956" w:type="dxa"/>
            <w:tcBorders>
              <w:top w:val="single" w:sz="8" w:space="0" w:color="auto"/>
              <w:left w:val="nil"/>
              <w:bottom w:val="single" w:sz="8" w:space="0" w:color="auto"/>
              <w:right w:val="nil"/>
            </w:tcBorders>
            <w:shd w:val="clear" w:color="000000" w:fill="31849B"/>
            <w:vAlign w:val="center"/>
            <w:hideMark/>
          </w:tcPr>
          <w:p w:rsidR="004734CA" w:rsidRPr="00461980" w:rsidRDefault="004734CA" w:rsidP="007C4FAB">
            <w:pPr>
              <w:jc w:val="both"/>
              <w:rPr>
                <w:rFonts w:cs="Calibri"/>
                <w:b/>
                <w:bCs/>
              </w:rPr>
            </w:pPr>
            <w:r w:rsidRPr="00461980">
              <w:rPr>
                <w:rFonts w:cs="Calibri"/>
                <w:b/>
                <w:bCs/>
              </w:rPr>
              <w:t>Clase de activo</w:t>
            </w:r>
          </w:p>
        </w:tc>
        <w:tc>
          <w:tcPr>
            <w:tcW w:w="5990" w:type="dxa"/>
            <w:tcBorders>
              <w:top w:val="single" w:sz="8" w:space="0" w:color="auto"/>
              <w:left w:val="nil"/>
              <w:bottom w:val="single" w:sz="8" w:space="0" w:color="auto"/>
              <w:right w:val="single" w:sz="8" w:space="0" w:color="auto"/>
            </w:tcBorders>
            <w:shd w:val="clear" w:color="000000" w:fill="31849B"/>
            <w:vAlign w:val="center"/>
            <w:hideMark/>
          </w:tcPr>
          <w:p w:rsidR="004734CA" w:rsidRPr="00461980" w:rsidRDefault="004734CA" w:rsidP="007C4FAB">
            <w:pPr>
              <w:jc w:val="both"/>
              <w:rPr>
                <w:rFonts w:cs="Calibri"/>
                <w:b/>
                <w:bCs/>
              </w:rPr>
            </w:pPr>
            <w:r w:rsidRPr="00461980">
              <w:rPr>
                <w:rFonts w:cs="Calibri"/>
                <w:b/>
                <w:bCs/>
              </w:rPr>
              <w:t>Determinación de cuentas</w:t>
            </w:r>
          </w:p>
        </w:tc>
        <w:tc>
          <w:tcPr>
            <w:tcW w:w="993" w:type="dxa"/>
            <w:tcBorders>
              <w:top w:val="nil"/>
              <w:left w:val="nil"/>
              <w:bottom w:val="single" w:sz="8" w:space="0" w:color="auto"/>
              <w:right w:val="nil"/>
            </w:tcBorders>
            <w:shd w:val="clear" w:color="000000" w:fill="31849B"/>
            <w:vAlign w:val="center"/>
            <w:hideMark/>
          </w:tcPr>
          <w:p w:rsidR="004734CA" w:rsidRPr="00461980" w:rsidRDefault="004734CA" w:rsidP="007C4FAB">
            <w:pPr>
              <w:jc w:val="both"/>
              <w:rPr>
                <w:rFonts w:cs="Calibri"/>
                <w:b/>
                <w:bCs/>
              </w:rPr>
            </w:pPr>
            <w:r w:rsidRPr="00461980">
              <w:rPr>
                <w:rFonts w:cs="Calibri"/>
                <w:b/>
                <w:bCs/>
              </w:rPr>
              <w:t>TOTAL MESES</w:t>
            </w:r>
          </w:p>
        </w:tc>
        <w:tc>
          <w:tcPr>
            <w:tcW w:w="992" w:type="dxa"/>
            <w:tcBorders>
              <w:top w:val="nil"/>
              <w:left w:val="single" w:sz="8" w:space="0" w:color="auto"/>
              <w:bottom w:val="single" w:sz="8" w:space="0" w:color="auto"/>
              <w:right w:val="nil"/>
            </w:tcBorders>
            <w:shd w:val="clear" w:color="000000" w:fill="31849B"/>
            <w:vAlign w:val="center"/>
            <w:hideMark/>
          </w:tcPr>
          <w:p w:rsidR="004734CA" w:rsidRPr="00461980" w:rsidRDefault="004734CA" w:rsidP="007C4FAB">
            <w:pPr>
              <w:jc w:val="both"/>
              <w:rPr>
                <w:rFonts w:cs="Calibri"/>
                <w:b/>
                <w:bCs/>
              </w:rPr>
            </w:pPr>
            <w:r w:rsidRPr="00461980">
              <w:rPr>
                <w:rFonts w:cs="Calibri"/>
                <w:b/>
                <w:bCs/>
              </w:rPr>
              <w:t>TOTAL AÑOS</w:t>
            </w:r>
          </w:p>
        </w:tc>
        <w:tc>
          <w:tcPr>
            <w:tcW w:w="850" w:type="dxa"/>
            <w:tcBorders>
              <w:top w:val="nil"/>
              <w:left w:val="single" w:sz="8" w:space="0" w:color="auto"/>
              <w:bottom w:val="single" w:sz="8" w:space="0" w:color="auto"/>
              <w:right w:val="single" w:sz="8" w:space="0" w:color="auto"/>
            </w:tcBorders>
            <w:shd w:val="clear" w:color="000000" w:fill="31849B"/>
            <w:vAlign w:val="center"/>
            <w:hideMark/>
          </w:tcPr>
          <w:p w:rsidR="004734CA" w:rsidRPr="00461980" w:rsidRDefault="004734CA" w:rsidP="007C4FAB">
            <w:pPr>
              <w:jc w:val="both"/>
              <w:rPr>
                <w:rFonts w:cs="Calibri"/>
                <w:b/>
                <w:bCs/>
              </w:rPr>
            </w:pPr>
            <w:r w:rsidRPr="00461980">
              <w:rPr>
                <w:rFonts w:cs="Calibri"/>
                <w:b/>
                <w:bCs/>
              </w:rPr>
              <w:t>PORCENTAJE</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5110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MUEBLES DE OFICINA Y ESTANTERIA</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5120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MUEBLES, EXCEPTO DE OFICINA Y ESTANTERIA</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5130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BIENES ARTISTICOS, CULTURALES Y CIENTIFICOS</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5150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EQUIPO DE COMPUTO Y DE TECNOLOGIAS DE LA INFORMACION</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40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3.33</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30.00%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5190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OTROS MOBILIARIOS Y EQUIPOS DE ADMINISTRACION</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lastRenderedPageBreak/>
              <w:t>5210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EQUIPO Y APARATOS AUDIOVISUALES</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5220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APARATOS DEPORTIVOS</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5230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CÁMARAS FOTOGRÁFICAS Y DE VIDEO</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5290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OTROS MOBILIARIOS Y EQUIPO EDUCACIONAL Y RECREATIVO</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5310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EQUIPO MEDICO Y DE LABORATORIO</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5320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INSTRUMENTAL MEDICO Y DE LABORATORIO</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33</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2.75</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36.36%</w:t>
            </w:r>
          </w:p>
        </w:tc>
      </w:tr>
      <w:tr w:rsidR="004734CA" w:rsidRPr="00461980" w:rsidTr="007C4FAB">
        <w:trPr>
          <w:trHeight w:val="300"/>
        </w:trPr>
        <w:tc>
          <w:tcPr>
            <w:tcW w:w="956" w:type="dxa"/>
            <w:tcBorders>
              <w:top w:val="nil"/>
              <w:left w:val="single" w:sz="8" w:space="0" w:color="auto"/>
              <w:bottom w:val="nil"/>
              <w:right w:val="nil"/>
            </w:tcBorders>
            <w:shd w:val="clear" w:color="000000" w:fill="FFFFFF"/>
            <w:noWrap/>
            <w:vAlign w:val="bottom"/>
            <w:hideMark/>
          </w:tcPr>
          <w:p w:rsidR="004734CA" w:rsidRPr="00461980" w:rsidRDefault="004734CA" w:rsidP="007C4FAB">
            <w:pPr>
              <w:jc w:val="both"/>
              <w:rPr>
                <w:rFonts w:cs="Calibri"/>
              </w:rPr>
            </w:pPr>
            <w:r w:rsidRPr="00461980">
              <w:rPr>
                <w:rFonts w:cs="Calibri"/>
              </w:rPr>
              <w:t>5410</w:t>
            </w:r>
          </w:p>
        </w:tc>
        <w:tc>
          <w:tcPr>
            <w:tcW w:w="5990" w:type="dxa"/>
            <w:tcBorders>
              <w:top w:val="nil"/>
              <w:left w:val="single" w:sz="8" w:space="0" w:color="auto"/>
              <w:bottom w:val="nil"/>
              <w:right w:val="single" w:sz="8" w:space="0" w:color="auto"/>
            </w:tcBorders>
            <w:shd w:val="clear" w:color="000000" w:fill="FFFFFF"/>
            <w:noWrap/>
            <w:vAlign w:val="bottom"/>
            <w:hideMark/>
          </w:tcPr>
          <w:p w:rsidR="004734CA" w:rsidRPr="00461980" w:rsidRDefault="004734CA" w:rsidP="007C4FAB">
            <w:pPr>
              <w:jc w:val="both"/>
              <w:rPr>
                <w:rFonts w:cs="Calibri"/>
              </w:rPr>
            </w:pPr>
            <w:r w:rsidRPr="00461980">
              <w:rPr>
                <w:rFonts w:cs="Calibri"/>
              </w:rPr>
              <w:t>AUTOMOVILES Y CAMIONES</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48</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4</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25.00%</w:t>
            </w:r>
          </w:p>
        </w:tc>
      </w:tr>
      <w:tr w:rsidR="004734CA" w:rsidRPr="00461980" w:rsidTr="007C4FAB">
        <w:trPr>
          <w:trHeight w:val="300"/>
        </w:trPr>
        <w:tc>
          <w:tcPr>
            <w:tcW w:w="956" w:type="dxa"/>
            <w:tcBorders>
              <w:top w:val="nil"/>
              <w:left w:val="single" w:sz="8" w:space="0" w:color="auto"/>
              <w:bottom w:val="nil"/>
              <w:right w:val="nil"/>
            </w:tcBorders>
            <w:shd w:val="clear" w:color="000000" w:fill="FFFFFF"/>
            <w:noWrap/>
            <w:vAlign w:val="bottom"/>
            <w:hideMark/>
          </w:tcPr>
          <w:p w:rsidR="004734CA" w:rsidRPr="00461980" w:rsidRDefault="004734CA" w:rsidP="007C4FAB">
            <w:pPr>
              <w:jc w:val="both"/>
              <w:rPr>
                <w:rFonts w:cs="Calibri"/>
              </w:rPr>
            </w:pPr>
            <w:r w:rsidRPr="00461980">
              <w:rPr>
                <w:rFonts w:cs="Calibri"/>
              </w:rPr>
              <w:t>5430</w:t>
            </w:r>
          </w:p>
        </w:tc>
        <w:tc>
          <w:tcPr>
            <w:tcW w:w="5990" w:type="dxa"/>
            <w:tcBorders>
              <w:top w:val="nil"/>
              <w:left w:val="single" w:sz="8" w:space="0" w:color="auto"/>
              <w:bottom w:val="nil"/>
              <w:right w:val="single" w:sz="8" w:space="0" w:color="auto"/>
            </w:tcBorders>
            <w:shd w:val="clear" w:color="000000" w:fill="FFFFFF"/>
            <w:noWrap/>
            <w:vAlign w:val="bottom"/>
            <w:hideMark/>
          </w:tcPr>
          <w:p w:rsidR="004734CA" w:rsidRPr="00461980" w:rsidRDefault="004734CA" w:rsidP="007C4FAB">
            <w:pPr>
              <w:jc w:val="both"/>
              <w:rPr>
                <w:rFonts w:cs="Calibri"/>
              </w:rPr>
            </w:pPr>
            <w:r w:rsidRPr="00461980">
              <w:rPr>
                <w:rFonts w:cs="Calibri"/>
              </w:rPr>
              <w:t>EQUIPO AEROESPACIAL</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 </w:t>
            </w:r>
          </w:p>
        </w:tc>
      </w:tr>
      <w:tr w:rsidR="004734CA" w:rsidRPr="00461980" w:rsidTr="007C4FAB">
        <w:trPr>
          <w:trHeight w:val="300"/>
        </w:trPr>
        <w:tc>
          <w:tcPr>
            <w:tcW w:w="956" w:type="dxa"/>
            <w:tcBorders>
              <w:top w:val="nil"/>
              <w:left w:val="single" w:sz="8" w:space="0" w:color="auto"/>
              <w:bottom w:val="nil"/>
              <w:right w:val="nil"/>
            </w:tcBorders>
            <w:shd w:val="clear" w:color="000000" w:fill="FFFFFF"/>
            <w:noWrap/>
            <w:vAlign w:val="bottom"/>
            <w:hideMark/>
          </w:tcPr>
          <w:p w:rsidR="004734CA" w:rsidRPr="00461980" w:rsidRDefault="004734CA" w:rsidP="007C4FAB">
            <w:pPr>
              <w:jc w:val="both"/>
              <w:rPr>
                <w:rFonts w:cs="Calibri"/>
              </w:rPr>
            </w:pPr>
            <w:r w:rsidRPr="00461980">
              <w:rPr>
                <w:rFonts w:cs="Calibri"/>
              </w:rPr>
              <w:t>5490</w:t>
            </w:r>
          </w:p>
        </w:tc>
        <w:tc>
          <w:tcPr>
            <w:tcW w:w="5990" w:type="dxa"/>
            <w:tcBorders>
              <w:top w:val="nil"/>
              <w:left w:val="single" w:sz="8" w:space="0" w:color="auto"/>
              <w:bottom w:val="nil"/>
              <w:right w:val="single" w:sz="8" w:space="0" w:color="auto"/>
            </w:tcBorders>
            <w:shd w:val="clear" w:color="000000" w:fill="FFFFFF"/>
            <w:noWrap/>
            <w:vAlign w:val="bottom"/>
            <w:hideMark/>
          </w:tcPr>
          <w:p w:rsidR="004734CA" w:rsidRPr="00461980" w:rsidRDefault="004734CA" w:rsidP="007C4FAB">
            <w:pPr>
              <w:jc w:val="both"/>
              <w:rPr>
                <w:rFonts w:cs="Calibri"/>
              </w:rPr>
            </w:pPr>
            <w:r w:rsidRPr="00461980">
              <w:rPr>
                <w:rFonts w:cs="Calibri"/>
              </w:rPr>
              <w:t>OTROS EQUIPOS DE TRANSPORTE</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000000" w:fill="FFFFFF"/>
            <w:noWrap/>
            <w:vAlign w:val="bottom"/>
            <w:hideMark/>
          </w:tcPr>
          <w:p w:rsidR="004734CA" w:rsidRPr="00461980" w:rsidRDefault="004734CA" w:rsidP="007C4FAB">
            <w:pPr>
              <w:jc w:val="both"/>
              <w:rPr>
                <w:rFonts w:cs="Calibri"/>
              </w:rPr>
            </w:pPr>
            <w:r w:rsidRPr="00461980">
              <w:rPr>
                <w:rFonts w:cs="Calibri"/>
              </w:rPr>
              <w:t>5510</w:t>
            </w:r>
          </w:p>
        </w:tc>
        <w:tc>
          <w:tcPr>
            <w:tcW w:w="5990" w:type="dxa"/>
            <w:tcBorders>
              <w:top w:val="nil"/>
              <w:left w:val="single" w:sz="8" w:space="0" w:color="auto"/>
              <w:bottom w:val="nil"/>
              <w:right w:val="single" w:sz="8" w:space="0" w:color="auto"/>
            </w:tcBorders>
            <w:shd w:val="clear" w:color="000000" w:fill="FFFFFF"/>
            <w:noWrap/>
            <w:vAlign w:val="bottom"/>
            <w:hideMark/>
          </w:tcPr>
          <w:p w:rsidR="004734CA" w:rsidRPr="00461980" w:rsidRDefault="004734CA" w:rsidP="007C4FAB">
            <w:pPr>
              <w:jc w:val="both"/>
              <w:rPr>
                <w:rFonts w:cs="Calibri"/>
              </w:rPr>
            </w:pPr>
            <w:r w:rsidRPr="00461980">
              <w:rPr>
                <w:rFonts w:cs="Calibri"/>
              </w:rPr>
              <w:t>EQUIPO DE DEFENSA Y SEGUURIDAD</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5610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MAQUINARIA Y EQUIPO AGROPECUARIO</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48</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4</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25.00%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5620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MAQUINARIA Y EQUIPO INDUSTRIAL</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5630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MAQUINARIA Y EQUIPO DE CONSTRUCCION</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48</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4</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25.00%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5640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SISTEMA DE AIRE ACONDICIONADO</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76</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6.33</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15.79%</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5650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EQUIPOS DE COMUNICACIONES Y TELECOM.</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76</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6.33</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15.79%</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5660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EQUIPO DE GENERACION ELECTRICA, APARATOS Y ACCESORIOS</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240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20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5.00%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5670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HERRAMIENTAS Y MAQUINAS-HERRAMIENTAS</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15"/>
        </w:trPr>
        <w:tc>
          <w:tcPr>
            <w:tcW w:w="956" w:type="dxa"/>
            <w:tcBorders>
              <w:top w:val="nil"/>
              <w:left w:val="single" w:sz="8" w:space="0" w:color="auto"/>
              <w:bottom w:val="single" w:sz="8" w:space="0" w:color="auto"/>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lastRenderedPageBreak/>
              <w:t>5690</w:t>
            </w:r>
          </w:p>
        </w:tc>
        <w:tc>
          <w:tcPr>
            <w:tcW w:w="5990" w:type="dxa"/>
            <w:tcBorders>
              <w:top w:val="nil"/>
              <w:left w:val="single" w:sz="8" w:space="0" w:color="auto"/>
              <w:bottom w:val="single" w:sz="8" w:space="0" w:color="auto"/>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OTROS EQUIPOS</w:t>
            </w:r>
          </w:p>
        </w:tc>
        <w:tc>
          <w:tcPr>
            <w:tcW w:w="993" w:type="dxa"/>
            <w:tcBorders>
              <w:top w:val="nil"/>
              <w:left w:val="nil"/>
              <w:bottom w:val="single" w:sz="8" w:space="0" w:color="auto"/>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single" w:sz="8" w:space="0" w:color="auto"/>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single" w:sz="8" w:space="0" w:color="auto"/>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bl>
    <w:p w:rsidR="004734CA" w:rsidRPr="00461980" w:rsidRDefault="004734CA" w:rsidP="004734CA">
      <w:pPr>
        <w:jc w:val="both"/>
        <w:rPr>
          <w:rFonts w:cs="Calibri"/>
        </w:rPr>
      </w:pPr>
      <w:r w:rsidRPr="00461980">
        <w:rPr>
          <w:rFonts w:cs="Calibri"/>
        </w:rPr>
        <w:t>b) Cambios en el porcentaje de depreciación o valor residual de los activos:</w:t>
      </w:r>
    </w:p>
    <w:p w:rsidR="004734CA" w:rsidRPr="00461980" w:rsidRDefault="004734CA" w:rsidP="004734CA">
      <w:pPr>
        <w:jc w:val="both"/>
        <w:rPr>
          <w:rFonts w:cs="Calibri"/>
        </w:rPr>
      </w:pPr>
      <w:r w:rsidRPr="00461980">
        <w:rPr>
          <w:rFonts w:cs="Calibri"/>
        </w:rPr>
        <w:t xml:space="preserve">De conformidad con la norma de CONAC y los alcances del SIHP, actualmente sólo pueden considerarse las 40 clases de activos vigentes. </w:t>
      </w:r>
    </w:p>
    <w:p w:rsidR="004734CA" w:rsidRPr="00461980" w:rsidRDefault="004734CA" w:rsidP="004734CA">
      <w:pPr>
        <w:jc w:val="both"/>
        <w:rPr>
          <w:rFonts w:cs="Calibri"/>
        </w:rPr>
      </w:pPr>
      <w:r w:rsidRPr="00461980">
        <w:rPr>
          <w:rFonts w:cs="Calibri"/>
        </w:rPr>
        <w:t>c) Importe de los gastos capitalizados en el ejercicio, tanto financieros como de investigación y desarrollo:</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d) Riegos por tipo de cambio o tipo de interés de las inversiones financieras: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e) Valor activado en el ejercicio de los bienes construidos por la entidad:</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f) Otras circunstancias de carácter significativo que afecten el activo, tales como bienes en garantía, señalados en embargos, litigios, títulos de inversiones entregados en garantías, baja significativa del valor de inversiones financieras, etc.:</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g) Desmantelamiento de Activos, procedimientos, implicaciones, efectos contables: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h) Administración de activos; planeación con el objetivo de que el ente los utilice de manera más efectiva:</w:t>
      </w:r>
    </w:p>
    <w:tbl>
      <w:tblPr>
        <w:tblW w:w="9938" w:type="dxa"/>
        <w:tblInd w:w="55" w:type="dxa"/>
        <w:tblCellMar>
          <w:left w:w="70" w:type="dxa"/>
          <w:right w:w="70" w:type="dxa"/>
        </w:tblCellMar>
        <w:tblLook w:val="04A0" w:firstRow="1" w:lastRow="0" w:firstColumn="1" w:lastColumn="0" w:noHBand="0" w:noVBand="1"/>
      </w:tblPr>
      <w:tblGrid>
        <w:gridCol w:w="9938"/>
      </w:tblGrid>
      <w:tr w:rsidR="004734CA" w:rsidRPr="00461980" w:rsidTr="007C4FAB">
        <w:trPr>
          <w:trHeight w:val="555"/>
        </w:trPr>
        <w:tc>
          <w:tcPr>
            <w:tcW w:w="9938" w:type="dxa"/>
            <w:tcBorders>
              <w:top w:val="nil"/>
              <w:left w:val="nil"/>
              <w:bottom w:val="nil"/>
              <w:right w:val="nil"/>
            </w:tcBorders>
            <w:shd w:val="clear" w:color="auto" w:fill="auto"/>
            <w:vAlign w:val="center"/>
            <w:hideMark/>
          </w:tcPr>
          <w:p w:rsidR="004734CA" w:rsidRPr="00461980" w:rsidRDefault="004734CA" w:rsidP="007C4FAB">
            <w:pPr>
              <w:jc w:val="both"/>
              <w:rPr>
                <w:rFonts w:cs="Calibri"/>
              </w:rPr>
            </w:pPr>
            <w:r w:rsidRPr="00461980">
              <w:rPr>
                <w:rFonts w:cs="Calibri"/>
              </w:rPr>
              <w:t xml:space="preserve">Terreno: En Diario Oficial del Gobierno del estado de Guanajuato de fecha 17 de abril de 2012, se publicó el “Acuerdo Municipal mediante el cual se revoca la similar por medio del cual se desafectó y dono una fracción del terreno municipal al organismo público descentralizado del Gobierno del Estado denominado Universidad Tecnológica del Norte de Guanajuato y se desafectan del dominio público y se donan dos fracciones de terreno a favor del Gobierno del Estado con destino a la Universidad Tecnológica de San Miguel de Allende, </w:t>
            </w:r>
            <w:proofErr w:type="spellStart"/>
            <w:r w:rsidRPr="00461980">
              <w:rPr>
                <w:rFonts w:cs="Calibri"/>
              </w:rPr>
              <w:t>Gto</w:t>
            </w:r>
            <w:proofErr w:type="spellEnd"/>
            <w:r w:rsidRPr="00461980">
              <w:rPr>
                <w:rFonts w:cs="Calibri"/>
              </w:rPr>
              <w:t>.”</w:t>
            </w:r>
          </w:p>
        </w:tc>
      </w:tr>
      <w:tr w:rsidR="004734CA" w:rsidRPr="00461980" w:rsidTr="007C4FAB">
        <w:trPr>
          <w:trHeight w:val="675"/>
        </w:trPr>
        <w:tc>
          <w:tcPr>
            <w:tcW w:w="9938" w:type="dxa"/>
            <w:tcBorders>
              <w:top w:val="nil"/>
              <w:left w:val="nil"/>
              <w:bottom w:val="nil"/>
              <w:right w:val="nil"/>
            </w:tcBorders>
            <w:shd w:val="clear" w:color="auto" w:fill="auto"/>
            <w:vAlign w:val="center"/>
            <w:hideMark/>
          </w:tcPr>
          <w:p w:rsidR="004734CA" w:rsidRPr="00461980" w:rsidRDefault="004734CA" w:rsidP="007C4FAB">
            <w:pPr>
              <w:jc w:val="both"/>
              <w:rPr>
                <w:rFonts w:cs="Calibri"/>
              </w:rPr>
            </w:pPr>
            <w:r w:rsidRPr="00461980">
              <w:rPr>
                <w:rFonts w:cs="Calibri"/>
              </w:rPr>
              <w:t>Bienes Muebles: Se tienen registrados en la contabilidad todos los bienes muebles adquiridos por la Universidad en el ejercicio 2011, 2012 y 2013 aplicando las depreciaciones correspondientes. El proceso de solicitud de alta del activo fijo que la Universidad del Norte de Guanajuato aún no tiene registrado, el cual no se ha realizado debido a diferencias que se tienen con lo registrado en Control Patrimonial.</w:t>
            </w:r>
          </w:p>
          <w:p w:rsidR="004734CA" w:rsidRPr="00461980" w:rsidRDefault="004734CA" w:rsidP="007C4FAB">
            <w:pPr>
              <w:jc w:val="both"/>
              <w:rPr>
                <w:rFonts w:cs="Calibri"/>
              </w:rPr>
            </w:pPr>
          </w:p>
        </w:tc>
      </w:tr>
    </w:tbl>
    <w:p w:rsidR="004734CA" w:rsidRPr="00461980" w:rsidRDefault="004734CA" w:rsidP="004734CA">
      <w:pPr>
        <w:jc w:val="both"/>
        <w:rPr>
          <w:rFonts w:cs="Calibri"/>
        </w:rPr>
      </w:pPr>
      <w:r w:rsidRPr="00461980">
        <w:rPr>
          <w:rFonts w:cs="Calibri"/>
        </w:rPr>
        <w:t>Adicionalmente, se deben incluir las explicaciones de las principales variaciones en el activo, en cuadros comparativos como sigue:</w:t>
      </w:r>
    </w:p>
    <w:p w:rsidR="004734CA" w:rsidRPr="00461980" w:rsidRDefault="004734CA" w:rsidP="004734CA">
      <w:pPr>
        <w:jc w:val="both"/>
        <w:rPr>
          <w:rFonts w:cs="Calibri"/>
        </w:rPr>
      </w:pPr>
      <w:r w:rsidRPr="00461980">
        <w:rPr>
          <w:rFonts w:cs="Calibri"/>
        </w:rPr>
        <w:lastRenderedPageBreak/>
        <w:t>a) Inversiones en valores: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b) Patrimonio de Organismos descentralizados de Control Presupuestario Indirecto:</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c) Inversiones en empresas de participación mayoritaria: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d) Inversiones en empresas de participación minoritaria: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e) Patrimonio de organismos descentralizados de control presupuestario directo, según corresponda: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center"/>
        <w:rPr>
          <w:rFonts w:cs="Calibri"/>
          <w:b/>
        </w:rPr>
      </w:pPr>
    </w:p>
    <w:p w:rsidR="004734CA" w:rsidRPr="00461980" w:rsidRDefault="004734CA" w:rsidP="004734CA">
      <w:pPr>
        <w:jc w:val="center"/>
        <w:rPr>
          <w:rFonts w:cs="Calibri"/>
          <w:b/>
        </w:rPr>
      </w:pPr>
      <w:r w:rsidRPr="00461980">
        <w:rPr>
          <w:rFonts w:cs="Calibri"/>
          <w:b/>
        </w:rPr>
        <w:t>9. Fideicomisos, Mandatos y Análogos:</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a) Por ramo administrativo que los reporta: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b) Enlistar los de mayor monto de disponibilidad, relacionando aquéllos que conforman el 80% de las disponibilidades: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p>
    <w:p w:rsidR="004734CA" w:rsidRPr="00461980" w:rsidRDefault="004734CA" w:rsidP="004734CA">
      <w:pPr>
        <w:jc w:val="both"/>
        <w:rPr>
          <w:rFonts w:cs="Calibri"/>
        </w:rPr>
      </w:pPr>
    </w:p>
    <w:p w:rsidR="004734CA" w:rsidRPr="00461980" w:rsidRDefault="004734CA" w:rsidP="004734CA">
      <w:pPr>
        <w:jc w:val="center"/>
        <w:rPr>
          <w:rFonts w:cs="Calibri"/>
          <w:b/>
        </w:rPr>
      </w:pPr>
      <w:r w:rsidRPr="00461980">
        <w:rPr>
          <w:rFonts w:cs="Calibri"/>
          <w:b/>
        </w:rPr>
        <w:t>10. Reporte de la Recaudación:</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a) Análisis del comportamiento de la recaudación correspondiente al ente público o cualquier tipo de ingreso, de forma separada los ingresos locales de los federales:</w:t>
      </w:r>
    </w:p>
    <w:p w:rsidR="004734CA" w:rsidRPr="00461980" w:rsidRDefault="004734CA" w:rsidP="004734CA">
      <w:pPr>
        <w:jc w:val="both"/>
        <w:rPr>
          <w:rFonts w:cs="Calibri"/>
        </w:rPr>
      </w:pPr>
      <w:r w:rsidRPr="00461980">
        <w:rPr>
          <w:rFonts w:cs="Calibri"/>
        </w:rPr>
        <w:t>Se tiene un ingreso mensual por subsidios del gobierno federal, del gobierno estatal y lo recaudado por ingresos propios</w:t>
      </w:r>
    </w:p>
    <w:p w:rsidR="004734CA" w:rsidRPr="00461980" w:rsidRDefault="004734CA" w:rsidP="004734CA">
      <w:pPr>
        <w:jc w:val="both"/>
        <w:rPr>
          <w:rFonts w:cs="Calibri"/>
        </w:rPr>
      </w:pPr>
      <w:r w:rsidRPr="00461980">
        <w:rPr>
          <w:rFonts w:cs="Calibri"/>
        </w:rPr>
        <w:t>b) Proyección de la recaudación e ingresos en el mediano plazo:</w:t>
      </w:r>
    </w:p>
    <w:p w:rsidR="004734CA" w:rsidRPr="00461980" w:rsidRDefault="004734CA" w:rsidP="004734CA">
      <w:pPr>
        <w:jc w:val="both"/>
        <w:rPr>
          <w:rFonts w:cs="Calibri"/>
          <w:b/>
        </w:rPr>
      </w:pPr>
    </w:p>
    <w:p w:rsidR="004734CA" w:rsidRPr="00461980" w:rsidRDefault="004734CA" w:rsidP="004734CA">
      <w:pPr>
        <w:jc w:val="both"/>
        <w:rPr>
          <w:rFonts w:cs="Calibri"/>
          <w:b/>
        </w:rPr>
      </w:pPr>
    </w:p>
    <w:p w:rsidR="004734CA" w:rsidRPr="00461980" w:rsidRDefault="004734CA" w:rsidP="004734CA">
      <w:pPr>
        <w:jc w:val="center"/>
        <w:rPr>
          <w:rFonts w:cs="Calibri"/>
          <w:b/>
        </w:rPr>
      </w:pPr>
      <w:r w:rsidRPr="00461980">
        <w:rPr>
          <w:rFonts w:cs="Calibri"/>
          <w:b/>
        </w:rPr>
        <w:lastRenderedPageBreak/>
        <w:t>11. Información sobre la Deuda y el Reporte Analítico de la Deuda:</w:t>
      </w:r>
    </w:p>
    <w:p w:rsidR="004734CA" w:rsidRPr="00461980" w:rsidRDefault="004734CA" w:rsidP="004734CA">
      <w:pPr>
        <w:jc w:val="both"/>
        <w:rPr>
          <w:rFonts w:cs="Calibri"/>
          <w:b/>
        </w:rPr>
      </w:pPr>
    </w:p>
    <w:p w:rsidR="004734CA" w:rsidRPr="00461980" w:rsidRDefault="004734CA" w:rsidP="004734CA">
      <w:pPr>
        <w:jc w:val="both"/>
        <w:rPr>
          <w:rFonts w:cs="Calibri"/>
        </w:rPr>
      </w:pPr>
      <w:r w:rsidRPr="00461980">
        <w:rPr>
          <w:rFonts w:cs="Calibri"/>
        </w:rPr>
        <w:t>a) Utilizar al menos los siguientes indicadores: deuda respecto al PIB y deuda respecto a la recaudación tomando, como mínimo, un período igual o menor a 5 años.</w:t>
      </w:r>
    </w:p>
    <w:p w:rsidR="004734CA" w:rsidRPr="00461980" w:rsidRDefault="004734CA" w:rsidP="004734CA">
      <w:pPr>
        <w:jc w:val="both"/>
        <w:rPr>
          <w:rFonts w:cs="Calibri"/>
        </w:rPr>
      </w:pPr>
      <w:r w:rsidRPr="00461980">
        <w:rPr>
          <w:rFonts w:cs="Calibri"/>
        </w:rPr>
        <w:t>b) Información de manera agrupada por tipo de valor gubernamental o instrumento financiero en la que se considere intereses, comisiones, tasa, perfil de vencimiento y otros gastos de la deuda.</w:t>
      </w:r>
    </w:p>
    <w:p w:rsidR="004734CA" w:rsidRPr="00461980" w:rsidRDefault="004734CA" w:rsidP="004734CA">
      <w:pPr>
        <w:jc w:val="both"/>
        <w:rPr>
          <w:rFonts w:cs="Calibri"/>
        </w:rPr>
      </w:pPr>
      <w:r w:rsidRPr="00461980">
        <w:rPr>
          <w:rFonts w:cs="Calibri"/>
        </w:rPr>
        <w:t>* Se anexara la información en las notas de desglose.</w:t>
      </w:r>
    </w:p>
    <w:p w:rsidR="004734CA" w:rsidRPr="00461980" w:rsidRDefault="004734CA" w:rsidP="004734CA">
      <w:pPr>
        <w:jc w:val="both"/>
        <w:rPr>
          <w:rFonts w:cs="Calibri"/>
          <w:b/>
        </w:rPr>
      </w:pPr>
    </w:p>
    <w:p w:rsidR="004734CA" w:rsidRPr="00461980" w:rsidRDefault="004734CA" w:rsidP="004734CA">
      <w:pPr>
        <w:jc w:val="center"/>
        <w:rPr>
          <w:rFonts w:cs="Calibri"/>
          <w:b/>
        </w:rPr>
      </w:pPr>
      <w:r w:rsidRPr="00461980">
        <w:rPr>
          <w:rFonts w:cs="Calibri"/>
          <w:b/>
        </w:rPr>
        <w:t>12. Calificaciones otorgadas:</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Informar, tanto del ente público como cualquier transacción realizada, que haya sido sujeta a una calificación crediticia: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b/>
        </w:rPr>
      </w:pPr>
    </w:p>
    <w:p w:rsidR="004734CA" w:rsidRPr="00461980" w:rsidRDefault="004734CA" w:rsidP="004734CA">
      <w:pPr>
        <w:jc w:val="center"/>
        <w:rPr>
          <w:rFonts w:cs="Calibri"/>
          <w:b/>
        </w:rPr>
      </w:pPr>
      <w:r w:rsidRPr="00461980">
        <w:rPr>
          <w:rFonts w:cs="Calibri"/>
          <w:b/>
        </w:rPr>
        <w:t>13. Proceso de Mejora:</w:t>
      </w:r>
    </w:p>
    <w:p w:rsidR="004734CA" w:rsidRPr="00461980" w:rsidRDefault="004734CA" w:rsidP="004734CA">
      <w:pPr>
        <w:jc w:val="both"/>
        <w:rPr>
          <w:rFonts w:cs="Calibri"/>
          <w:b/>
        </w:rPr>
      </w:pPr>
    </w:p>
    <w:p w:rsidR="004734CA" w:rsidRPr="00461980" w:rsidRDefault="004734CA" w:rsidP="004734CA">
      <w:pPr>
        <w:jc w:val="both"/>
        <w:rPr>
          <w:rFonts w:cs="Calibri"/>
        </w:rPr>
      </w:pPr>
      <w:r w:rsidRPr="00461980">
        <w:rPr>
          <w:rFonts w:cs="Calibri"/>
        </w:rPr>
        <w:t>Se informará de:</w:t>
      </w:r>
    </w:p>
    <w:p w:rsidR="004734CA" w:rsidRPr="00461980" w:rsidRDefault="004734CA" w:rsidP="004734CA">
      <w:pPr>
        <w:jc w:val="both"/>
        <w:rPr>
          <w:rFonts w:cs="Calibri"/>
        </w:rPr>
      </w:pPr>
      <w:r w:rsidRPr="00461980">
        <w:rPr>
          <w:rFonts w:cs="Calibri"/>
        </w:rPr>
        <w:t>a) Principales Políticas de control interno:</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b) Medidas de desempeño financiero, metas y alcance:</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b/>
        </w:rPr>
      </w:pPr>
    </w:p>
    <w:p w:rsidR="004734CA" w:rsidRPr="00461980" w:rsidRDefault="004734CA" w:rsidP="004734CA">
      <w:pPr>
        <w:jc w:val="center"/>
        <w:rPr>
          <w:rFonts w:cs="Calibri"/>
          <w:b/>
        </w:rPr>
      </w:pPr>
      <w:r w:rsidRPr="00461980">
        <w:rPr>
          <w:rFonts w:cs="Calibri"/>
          <w:b/>
        </w:rPr>
        <w:t>14. Información por Segmentos:</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734CA" w:rsidRPr="00461980" w:rsidRDefault="004734CA" w:rsidP="004734CA">
      <w:pPr>
        <w:jc w:val="both"/>
        <w:rPr>
          <w:rFonts w:cs="Calibri"/>
        </w:rPr>
      </w:pPr>
      <w:r w:rsidRPr="00461980">
        <w:rPr>
          <w:rFonts w:cs="Calibri"/>
        </w:rPr>
        <w:t>Consecuentemente, esta información contribuye al análisis más preciso de la situación financiera, grados y fuentes de riesgo y crecimiento potencial de negocio.</w:t>
      </w:r>
    </w:p>
    <w:p w:rsidR="004734CA" w:rsidRPr="00461980" w:rsidRDefault="004734CA" w:rsidP="004734CA">
      <w:pPr>
        <w:jc w:val="both"/>
        <w:rPr>
          <w:rFonts w:cs="Calibri"/>
          <w:b/>
        </w:rPr>
      </w:pPr>
    </w:p>
    <w:p w:rsidR="004734CA" w:rsidRPr="00461980" w:rsidRDefault="004734CA" w:rsidP="004734CA">
      <w:pPr>
        <w:jc w:val="center"/>
        <w:rPr>
          <w:rFonts w:cs="Calibri"/>
          <w:b/>
        </w:rPr>
      </w:pPr>
      <w:r w:rsidRPr="00461980">
        <w:rPr>
          <w:rFonts w:cs="Calibri"/>
          <w:b/>
        </w:rPr>
        <w:t>15. Eventos Posteriores al Cierre:</w:t>
      </w:r>
    </w:p>
    <w:p w:rsidR="004734CA" w:rsidRPr="00461980" w:rsidRDefault="004734CA" w:rsidP="004734CA">
      <w:pPr>
        <w:jc w:val="both"/>
        <w:rPr>
          <w:rFonts w:cs="Calibri"/>
          <w:b/>
        </w:rPr>
      </w:pPr>
    </w:p>
    <w:p w:rsidR="004734CA" w:rsidRPr="00461980" w:rsidRDefault="004734CA" w:rsidP="004734CA">
      <w:pPr>
        <w:jc w:val="both"/>
        <w:rPr>
          <w:rFonts w:cs="Calibri"/>
        </w:rPr>
      </w:pPr>
      <w:r w:rsidRPr="00461980">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4734CA" w:rsidRPr="00461980" w:rsidRDefault="004734CA" w:rsidP="004734CA">
      <w:pPr>
        <w:jc w:val="both"/>
        <w:rPr>
          <w:rFonts w:cs="Calibri"/>
          <w:b/>
        </w:rPr>
      </w:pPr>
    </w:p>
    <w:p w:rsidR="004734CA" w:rsidRPr="00461980" w:rsidRDefault="004734CA" w:rsidP="004734CA">
      <w:pPr>
        <w:jc w:val="center"/>
        <w:rPr>
          <w:rFonts w:cs="Calibri"/>
          <w:b/>
        </w:rPr>
      </w:pPr>
      <w:r w:rsidRPr="00461980">
        <w:rPr>
          <w:rFonts w:cs="Calibri"/>
          <w:b/>
        </w:rPr>
        <w:t>16. Partes Relacionadas:</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Se debe establecer por escrito que no existen partes relacionadas que pudieran ejercer influencia significativa sobre la toma de decisiones financieras y operativas: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center"/>
        <w:rPr>
          <w:rFonts w:cs="Calibri"/>
          <w:b/>
        </w:rPr>
      </w:pPr>
    </w:p>
    <w:p w:rsidR="004734CA" w:rsidRPr="00461980" w:rsidRDefault="004734CA" w:rsidP="004734CA">
      <w:pPr>
        <w:jc w:val="center"/>
        <w:rPr>
          <w:rFonts w:cs="Calibri"/>
          <w:b/>
        </w:rPr>
      </w:pPr>
      <w:r w:rsidRPr="00461980">
        <w:rPr>
          <w:rFonts w:cs="Calibri"/>
          <w:b/>
        </w:rPr>
        <w:t>17. Responsabilidad sobre la presentación razonable de los Estados Financieros:</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4734CA" w:rsidRPr="00461980" w:rsidRDefault="004734CA" w:rsidP="004734CA">
      <w:pPr>
        <w:jc w:val="both"/>
        <w:rPr>
          <w:rFonts w:cs="Calibri"/>
        </w:rPr>
      </w:pPr>
    </w:p>
    <w:p w:rsidR="004734CA" w:rsidRPr="00E74967" w:rsidRDefault="004734CA" w:rsidP="004734CA">
      <w:pPr>
        <w:jc w:val="both"/>
        <w:rPr>
          <w:rFonts w:cs="Calibri"/>
        </w:rPr>
      </w:pPr>
    </w:p>
    <w:p w:rsidR="004734CA" w:rsidRPr="00E74967" w:rsidRDefault="004734CA" w:rsidP="004734CA">
      <w:pPr>
        <w:jc w:val="both"/>
        <w:rPr>
          <w:rFonts w:cs="Calibri"/>
        </w:rPr>
      </w:pPr>
      <w:r w:rsidRPr="00E74967">
        <w:rPr>
          <w:rFonts w:cs="Calibri"/>
        </w:rPr>
        <w:t>Los Estados Financieros de los entes públicos, proveen de información financiera a los principales usuarios de la misma, al Congreso y a los ciudadanos.</w:t>
      </w:r>
    </w:p>
    <w:p w:rsidR="009C52E0" w:rsidRDefault="009C52E0" w:rsidP="009C52E0">
      <w:pPr>
        <w:jc w:val="both"/>
        <w:rPr>
          <w:rFonts w:ascii="Arial" w:hAnsi="Arial" w:cs="Arial"/>
          <w:b/>
          <w:sz w:val="20"/>
          <w:szCs w:val="20"/>
        </w:rPr>
      </w:pPr>
    </w:p>
    <w:p w:rsidR="009C52E0" w:rsidRDefault="009C52E0" w:rsidP="009C52E0">
      <w:pPr>
        <w:jc w:val="both"/>
        <w:rPr>
          <w:rFonts w:ascii="Arial" w:hAnsi="Arial" w:cs="Arial"/>
          <w:b/>
          <w:sz w:val="20"/>
          <w:szCs w:val="20"/>
        </w:rPr>
      </w:pPr>
      <w:r>
        <w:rPr>
          <w:rFonts w:ascii="Arial" w:hAnsi="Arial" w:cs="Arial"/>
          <w:b/>
          <w:sz w:val="20"/>
          <w:szCs w:val="20"/>
        </w:rPr>
        <w:t>Recomendaciones</w:t>
      </w:r>
    </w:p>
    <w:p w:rsidR="009C52E0" w:rsidRDefault="009C52E0" w:rsidP="009C52E0">
      <w:pPr>
        <w:jc w:val="both"/>
        <w:rPr>
          <w:rFonts w:ascii="Arial" w:hAnsi="Arial" w:cs="Arial"/>
          <w:b/>
          <w:sz w:val="20"/>
          <w:szCs w:val="20"/>
        </w:rPr>
      </w:pPr>
      <w:r w:rsidRPr="00447EC8">
        <w:rPr>
          <w:rFonts w:ascii="Arial" w:hAnsi="Arial" w:cs="Arial"/>
          <w:color w:val="000000"/>
          <w:sz w:val="16"/>
          <w:szCs w:val="16"/>
          <w:lang w:eastAsia="es-MX"/>
        </w:rPr>
        <w:t>Bajo protesta de decir verdad declaramos que los Estados Financieros y sus Notas son razonablemente correctos y responsabilidad del emisor</w:t>
      </w:r>
    </w:p>
    <w:tbl>
      <w:tblPr>
        <w:tblW w:w="11544" w:type="dxa"/>
        <w:tblInd w:w="70" w:type="dxa"/>
        <w:tblCellMar>
          <w:left w:w="70" w:type="dxa"/>
          <w:right w:w="70" w:type="dxa"/>
        </w:tblCellMar>
        <w:tblLook w:val="04A0" w:firstRow="1" w:lastRow="0" w:firstColumn="1" w:lastColumn="0" w:noHBand="0" w:noVBand="1"/>
      </w:tblPr>
      <w:tblGrid>
        <w:gridCol w:w="1920"/>
        <w:gridCol w:w="1199"/>
        <w:gridCol w:w="3969"/>
        <w:gridCol w:w="2536"/>
        <w:gridCol w:w="1920"/>
      </w:tblGrid>
      <w:tr w:rsidR="009C52E0" w:rsidRPr="00447EC8" w:rsidTr="006236D2">
        <w:trPr>
          <w:gridAfter w:val="4"/>
          <w:wAfter w:w="9624" w:type="dxa"/>
          <w:trHeight w:val="208"/>
        </w:trPr>
        <w:tc>
          <w:tcPr>
            <w:tcW w:w="1920" w:type="dxa"/>
            <w:tcBorders>
              <w:top w:val="nil"/>
              <w:left w:val="nil"/>
              <w:bottom w:val="nil"/>
              <w:right w:val="nil"/>
            </w:tcBorders>
            <w:shd w:val="clear" w:color="000000" w:fill="FFFFFF"/>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p>
        </w:tc>
        <w:tc>
          <w:tcPr>
            <w:tcW w:w="2536"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1920"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Daniel Jiménez Rodríguez</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single" w:sz="4" w:space="0" w:color="auto"/>
              <w:left w:val="nil"/>
              <w:bottom w:val="nil"/>
              <w:right w:val="nil"/>
            </w:tcBorders>
            <w:shd w:val="clear" w:color="auto" w:fill="auto"/>
            <w:noWrap/>
            <w:vAlign w:val="bottom"/>
            <w:hideMark/>
          </w:tcPr>
          <w:p w:rsidR="009C52E0" w:rsidRPr="00447EC8" w:rsidRDefault="0059420D" w:rsidP="006236D2">
            <w:pPr>
              <w:jc w:val="center"/>
              <w:rPr>
                <w:rFonts w:ascii="Arial" w:hAnsi="Arial" w:cs="Arial"/>
                <w:color w:val="000000"/>
                <w:sz w:val="20"/>
                <w:szCs w:val="20"/>
                <w:lang w:eastAsia="es-MX"/>
              </w:rPr>
            </w:pPr>
            <w:r>
              <w:rPr>
                <w:rFonts w:ascii="Arial" w:hAnsi="Arial" w:cs="Arial"/>
                <w:color w:val="000000"/>
                <w:sz w:val="20"/>
                <w:szCs w:val="20"/>
                <w:lang w:eastAsia="es-MX"/>
              </w:rPr>
              <w:t>José Eduardo Adrián</w:t>
            </w:r>
            <w:bookmarkStart w:id="0" w:name="_GoBack"/>
            <w:bookmarkEnd w:id="0"/>
            <w:r>
              <w:rPr>
                <w:rFonts w:ascii="Arial" w:hAnsi="Arial" w:cs="Arial"/>
                <w:color w:val="000000"/>
                <w:sz w:val="20"/>
                <w:szCs w:val="20"/>
                <w:lang w:eastAsia="es-MX"/>
              </w:rPr>
              <w:t xml:space="preserve"> Soria Cruz</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Rector</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Director de Administración y Finanzas</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2536"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1920"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r>
    </w:tbl>
    <w:p w:rsidR="009C52E0" w:rsidRPr="00447EC8" w:rsidRDefault="009C52E0" w:rsidP="009C52E0">
      <w:pPr>
        <w:jc w:val="both"/>
        <w:rPr>
          <w:rFonts w:ascii="Arial" w:hAnsi="Arial" w:cs="Arial"/>
          <w:b/>
          <w:sz w:val="20"/>
          <w:szCs w:val="20"/>
        </w:rPr>
      </w:pPr>
    </w:p>
    <w:p w:rsidR="009C52E0" w:rsidRDefault="009C52E0" w:rsidP="009C52E0"/>
    <w:p w:rsidR="00217E0D" w:rsidRPr="009C52E0" w:rsidRDefault="00217E0D" w:rsidP="009C52E0"/>
    <w:sectPr w:rsidR="00217E0D" w:rsidRPr="009C52E0" w:rsidSect="00A06A71">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D5" w:rsidRDefault="001F50D5" w:rsidP="00EA5418">
      <w:r>
        <w:separator/>
      </w:r>
    </w:p>
  </w:endnote>
  <w:endnote w:type="continuationSeparator" w:id="0">
    <w:p w:rsidR="001F50D5" w:rsidRDefault="001F50D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02FBF010" wp14:editId="16353523">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EDEEC6"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59420D">
          <w:rPr>
            <w:rFonts w:ascii="Arial" w:hAnsi="Arial" w:cs="Arial"/>
            <w:noProof/>
            <w:color w:val="808080" w:themeColor="background1" w:themeShade="80"/>
            <w:sz w:val="20"/>
            <w:szCs w:val="20"/>
          </w:rPr>
          <w:t>26</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12443059" wp14:editId="5CFF8C63">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5BC83E"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59420D">
          <w:rPr>
            <w:rFonts w:ascii="Arial" w:hAnsi="Arial" w:cs="Arial"/>
            <w:noProof/>
            <w:color w:val="808080" w:themeColor="background1" w:themeShade="80"/>
            <w:sz w:val="20"/>
            <w:szCs w:val="20"/>
          </w:rPr>
          <w:t>27</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D5" w:rsidRDefault="001F50D5" w:rsidP="00EA5418">
      <w:r>
        <w:separator/>
      </w:r>
    </w:p>
  </w:footnote>
  <w:footnote w:type="continuationSeparator" w:id="0">
    <w:p w:rsidR="001F50D5" w:rsidRDefault="001F50D5"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19E524C9" wp14:editId="06C0EC1E">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D0DFC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322EFE1C" wp14:editId="4FD74F63">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EFE1C"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120D734B" wp14:editId="290CAE0F">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734B"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667E368F" wp14:editId="1300063C">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733F49"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DD6727"/>
    <w:multiLevelType w:val="hybridMultilevel"/>
    <w:tmpl w:val="676639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3"/>
  </w:num>
  <w:num w:numId="9">
    <w:abstractNumId w:val="15"/>
  </w:num>
  <w:num w:numId="10">
    <w:abstractNumId w:val="1"/>
  </w:num>
  <w:num w:numId="11">
    <w:abstractNumId w:val="4"/>
  </w:num>
  <w:num w:numId="12">
    <w:abstractNumId w:val="9"/>
  </w:num>
  <w:num w:numId="13">
    <w:abstractNumId w:val="18"/>
  </w:num>
  <w:num w:numId="14">
    <w:abstractNumId w:val="14"/>
  </w:num>
  <w:num w:numId="15">
    <w:abstractNumId w:val="7"/>
  </w:num>
  <w:num w:numId="16">
    <w:abstractNumId w:val="12"/>
  </w:num>
  <w:num w:numId="17">
    <w:abstractNumId w:val="6"/>
  </w:num>
  <w:num w:numId="18">
    <w:abstractNumId w:val="17"/>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31801"/>
    <w:rsid w:val="00040466"/>
    <w:rsid w:val="0004447B"/>
    <w:rsid w:val="00051ECA"/>
    <w:rsid w:val="00054BE5"/>
    <w:rsid w:val="00056042"/>
    <w:rsid w:val="00062DBE"/>
    <w:rsid w:val="00075042"/>
    <w:rsid w:val="0008576C"/>
    <w:rsid w:val="000958AC"/>
    <w:rsid w:val="000B3C7C"/>
    <w:rsid w:val="000B5B8C"/>
    <w:rsid w:val="000B7C88"/>
    <w:rsid w:val="000C4654"/>
    <w:rsid w:val="000D5278"/>
    <w:rsid w:val="000D7E31"/>
    <w:rsid w:val="000E268C"/>
    <w:rsid w:val="000F7B8B"/>
    <w:rsid w:val="0010245D"/>
    <w:rsid w:val="00116BF8"/>
    <w:rsid w:val="001179E1"/>
    <w:rsid w:val="00121C91"/>
    <w:rsid w:val="00124C63"/>
    <w:rsid w:val="00126634"/>
    <w:rsid w:val="0013011C"/>
    <w:rsid w:val="0013078A"/>
    <w:rsid w:val="00137A25"/>
    <w:rsid w:val="001435E8"/>
    <w:rsid w:val="001439FE"/>
    <w:rsid w:val="001640EB"/>
    <w:rsid w:val="001646D9"/>
    <w:rsid w:val="001650C8"/>
    <w:rsid w:val="00175462"/>
    <w:rsid w:val="001853A4"/>
    <w:rsid w:val="001A254A"/>
    <w:rsid w:val="001A428C"/>
    <w:rsid w:val="001B0D37"/>
    <w:rsid w:val="001B1B72"/>
    <w:rsid w:val="001C5833"/>
    <w:rsid w:val="001D36FA"/>
    <w:rsid w:val="001E3B9D"/>
    <w:rsid w:val="001E7F9E"/>
    <w:rsid w:val="001F2043"/>
    <w:rsid w:val="001F2B24"/>
    <w:rsid w:val="001F39B8"/>
    <w:rsid w:val="001F50D5"/>
    <w:rsid w:val="00205A47"/>
    <w:rsid w:val="00207A49"/>
    <w:rsid w:val="00210899"/>
    <w:rsid w:val="00215EC7"/>
    <w:rsid w:val="002166CC"/>
    <w:rsid w:val="00217E0D"/>
    <w:rsid w:val="00217EA0"/>
    <w:rsid w:val="0022083B"/>
    <w:rsid w:val="0022136E"/>
    <w:rsid w:val="00230E0F"/>
    <w:rsid w:val="0023342A"/>
    <w:rsid w:val="0026144C"/>
    <w:rsid w:val="002777C5"/>
    <w:rsid w:val="00281FEA"/>
    <w:rsid w:val="0029080B"/>
    <w:rsid w:val="002A4651"/>
    <w:rsid w:val="002A70B3"/>
    <w:rsid w:val="002B5BDD"/>
    <w:rsid w:val="002B682B"/>
    <w:rsid w:val="002B6BA9"/>
    <w:rsid w:val="002C0FD3"/>
    <w:rsid w:val="002C7B6B"/>
    <w:rsid w:val="002D28CF"/>
    <w:rsid w:val="002E3600"/>
    <w:rsid w:val="002E7A4E"/>
    <w:rsid w:val="002F0183"/>
    <w:rsid w:val="002F0322"/>
    <w:rsid w:val="0030274E"/>
    <w:rsid w:val="003051AF"/>
    <w:rsid w:val="003052F5"/>
    <w:rsid w:val="00306499"/>
    <w:rsid w:val="00307635"/>
    <w:rsid w:val="003122B9"/>
    <w:rsid w:val="00312800"/>
    <w:rsid w:val="003147CE"/>
    <w:rsid w:val="0031515D"/>
    <w:rsid w:val="003153DE"/>
    <w:rsid w:val="0032547C"/>
    <w:rsid w:val="00331802"/>
    <w:rsid w:val="003400E4"/>
    <w:rsid w:val="003542E2"/>
    <w:rsid w:val="00355821"/>
    <w:rsid w:val="003610E0"/>
    <w:rsid w:val="00370561"/>
    <w:rsid w:val="00372684"/>
    <w:rsid w:val="00372F40"/>
    <w:rsid w:val="003740F6"/>
    <w:rsid w:val="00380734"/>
    <w:rsid w:val="00387AD4"/>
    <w:rsid w:val="003A2EF0"/>
    <w:rsid w:val="003A7898"/>
    <w:rsid w:val="003B0A35"/>
    <w:rsid w:val="003B2878"/>
    <w:rsid w:val="003C11A7"/>
    <w:rsid w:val="003D5DBF"/>
    <w:rsid w:val="003E0C64"/>
    <w:rsid w:val="003E132C"/>
    <w:rsid w:val="003E7FD0"/>
    <w:rsid w:val="00403847"/>
    <w:rsid w:val="004079F5"/>
    <w:rsid w:val="00410C0A"/>
    <w:rsid w:val="00413755"/>
    <w:rsid w:val="00414245"/>
    <w:rsid w:val="004252AB"/>
    <w:rsid w:val="004277AF"/>
    <w:rsid w:val="0044253C"/>
    <w:rsid w:val="00465461"/>
    <w:rsid w:val="004671E4"/>
    <w:rsid w:val="0047223C"/>
    <w:rsid w:val="004734CA"/>
    <w:rsid w:val="00477029"/>
    <w:rsid w:val="00481BB6"/>
    <w:rsid w:val="00486AE1"/>
    <w:rsid w:val="004915D1"/>
    <w:rsid w:val="00491F63"/>
    <w:rsid w:val="00497D8B"/>
    <w:rsid w:val="004B01D6"/>
    <w:rsid w:val="004B05BC"/>
    <w:rsid w:val="004D3C95"/>
    <w:rsid w:val="004D41B8"/>
    <w:rsid w:val="004D4E9E"/>
    <w:rsid w:val="004E1F7A"/>
    <w:rsid w:val="004F29CC"/>
    <w:rsid w:val="00502D8E"/>
    <w:rsid w:val="00506351"/>
    <w:rsid w:val="0051061B"/>
    <w:rsid w:val="005117F4"/>
    <w:rsid w:val="00512C59"/>
    <w:rsid w:val="00513545"/>
    <w:rsid w:val="00522632"/>
    <w:rsid w:val="005227BA"/>
    <w:rsid w:val="00524746"/>
    <w:rsid w:val="005253B6"/>
    <w:rsid w:val="00525A46"/>
    <w:rsid w:val="0053052A"/>
    <w:rsid w:val="00531310"/>
    <w:rsid w:val="00534982"/>
    <w:rsid w:val="00540418"/>
    <w:rsid w:val="005425E9"/>
    <w:rsid w:val="00543D9D"/>
    <w:rsid w:val="00553FE6"/>
    <w:rsid w:val="005540C2"/>
    <w:rsid w:val="005542F7"/>
    <w:rsid w:val="005647F4"/>
    <w:rsid w:val="005677D8"/>
    <w:rsid w:val="005706D9"/>
    <w:rsid w:val="00582405"/>
    <w:rsid w:val="00584060"/>
    <w:rsid w:val="00584484"/>
    <w:rsid w:val="005859FA"/>
    <w:rsid w:val="0059420D"/>
    <w:rsid w:val="005A05B5"/>
    <w:rsid w:val="005A1A7B"/>
    <w:rsid w:val="005A4763"/>
    <w:rsid w:val="005B6522"/>
    <w:rsid w:val="005C11C0"/>
    <w:rsid w:val="005C4017"/>
    <w:rsid w:val="005D4B14"/>
    <w:rsid w:val="005F38CB"/>
    <w:rsid w:val="006008D3"/>
    <w:rsid w:val="00601DE3"/>
    <w:rsid w:val="006039A4"/>
    <w:rsid w:val="00603D1A"/>
    <w:rsid w:val="006048D2"/>
    <w:rsid w:val="00611E39"/>
    <w:rsid w:val="006133D2"/>
    <w:rsid w:val="00616DF9"/>
    <w:rsid w:val="006223EE"/>
    <w:rsid w:val="00623382"/>
    <w:rsid w:val="00624AF0"/>
    <w:rsid w:val="00633237"/>
    <w:rsid w:val="00634EB6"/>
    <w:rsid w:val="006359FF"/>
    <w:rsid w:val="00640E11"/>
    <w:rsid w:val="00642815"/>
    <w:rsid w:val="00656AFE"/>
    <w:rsid w:val="00660A28"/>
    <w:rsid w:val="00661772"/>
    <w:rsid w:val="00662E1A"/>
    <w:rsid w:val="006638AC"/>
    <w:rsid w:val="00665222"/>
    <w:rsid w:val="006725E1"/>
    <w:rsid w:val="00682609"/>
    <w:rsid w:val="00682F2F"/>
    <w:rsid w:val="006944F9"/>
    <w:rsid w:val="006B3871"/>
    <w:rsid w:val="006B729B"/>
    <w:rsid w:val="006C0640"/>
    <w:rsid w:val="006C1D3E"/>
    <w:rsid w:val="006D350A"/>
    <w:rsid w:val="006D7978"/>
    <w:rsid w:val="006E0624"/>
    <w:rsid w:val="006E493A"/>
    <w:rsid w:val="006E54D7"/>
    <w:rsid w:val="006E6B8E"/>
    <w:rsid w:val="006E77DD"/>
    <w:rsid w:val="006F6105"/>
    <w:rsid w:val="007065E3"/>
    <w:rsid w:val="00712E0E"/>
    <w:rsid w:val="00715210"/>
    <w:rsid w:val="00735C8C"/>
    <w:rsid w:val="00761570"/>
    <w:rsid w:val="007760B3"/>
    <w:rsid w:val="00780841"/>
    <w:rsid w:val="0078139D"/>
    <w:rsid w:val="00781BD1"/>
    <w:rsid w:val="00794F06"/>
    <w:rsid w:val="007957C2"/>
    <w:rsid w:val="0079582C"/>
    <w:rsid w:val="007B11D4"/>
    <w:rsid w:val="007B1A84"/>
    <w:rsid w:val="007B395E"/>
    <w:rsid w:val="007B4655"/>
    <w:rsid w:val="007B71E0"/>
    <w:rsid w:val="007C040F"/>
    <w:rsid w:val="007C79D7"/>
    <w:rsid w:val="007D6E9A"/>
    <w:rsid w:val="007E7E72"/>
    <w:rsid w:val="007F0E35"/>
    <w:rsid w:val="00802175"/>
    <w:rsid w:val="0080591B"/>
    <w:rsid w:val="00815659"/>
    <w:rsid w:val="00816AF8"/>
    <w:rsid w:val="00816BF6"/>
    <w:rsid w:val="00817382"/>
    <w:rsid w:val="0082502A"/>
    <w:rsid w:val="00836A7F"/>
    <w:rsid w:val="008506AC"/>
    <w:rsid w:val="00851947"/>
    <w:rsid w:val="00853A24"/>
    <w:rsid w:val="008621BB"/>
    <w:rsid w:val="00863436"/>
    <w:rsid w:val="00864C60"/>
    <w:rsid w:val="0087007A"/>
    <w:rsid w:val="008A546E"/>
    <w:rsid w:val="008A6E4D"/>
    <w:rsid w:val="008B0017"/>
    <w:rsid w:val="008B4216"/>
    <w:rsid w:val="008C6168"/>
    <w:rsid w:val="008D2722"/>
    <w:rsid w:val="008D4272"/>
    <w:rsid w:val="008D768C"/>
    <w:rsid w:val="008E3652"/>
    <w:rsid w:val="009004E7"/>
    <w:rsid w:val="00905863"/>
    <w:rsid w:val="00906646"/>
    <w:rsid w:val="00922416"/>
    <w:rsid w:val="00926EB9"/>
    <w:rsid w:val="00935718"/>
    <w:rsid w:val="00937194"/>
    <w:rsid w:val="00951352"/>
    <w:rsid w:val="0095465F"/>
    <w:rsid w:val="0096474B"/>
    <w:rsid w:val="00966947"/>
    <w:rsid w:val="00970B6A"/>
    <w:rsid w:val="00972FEB"/>
    <w:rsid w:val="0097585A"/>
    <w:rsid w:val="0097703C"/>
    <w:rsid w:val="0099048E"/>
    <w:rsid w:val="009909AB"/>
    <w:rsid w:val="009A40F6"/>
    <w:rsid w:val="009B00DE"/>
    <w:rsid w:val="009B22E0"/>
    <w:rsid w:val="009C1CD1"/>
    <w:rsid w:val="009C3DD4"/>
    <w:rsid w:val="009C52E0"/>
    <w:rsid w:val="009D47A5"/>
    <w:rsid w:val="009E2132"/>
    <w:rsid w:val="009E5DEA"/>
    <w:rsid w:val="00A05B12"/>
    <w:rsid w:val="00A06A71"/>
    <w:rsid w:val="00A0752F"/>
    <w:rsid w:val="00A11542"/>
    <w:rsid w:val="00A14B74"/>
    <w:rsid w:val="00A23882"/>
    <w:rsid w:val="00A23CCC"/>
    <w:rsid w:val="00A25D5F"/>
    <w:rsid w:val="00A34412"/>
    <w:rsid w:val="00A34915"/>
    <w:rsid w:val="00A365E4"/>
    <w:rsid w:val="00A54A92"/>
    <w:rsid w:val="00A5610E"/>
    <w:rsid w:val="00A74171"/>
    <w:rsid w:val="00A75930"/>
    <w:rsid w:val="00A83EF6"/>
    <w:rsid w:val="00A911BD"/>
    <w:rsid w:val="00A913B9"/>
    <w:rsid w:val="00AA4C6C"/>
    <w:rsid w:val="00AB13B7"/>
    <w:rsid w:val="00AB5C96"/>
    <w:rsid w:val="00AC420D"/>
    <w:rsid w:val="00AD0E70"/>
    <w:rsid w:val="00AD1576"/>
    <w:rsid w:val="00AD2246"/>
    <w:rsid w:val="00AD41FC"/>
    <w:rsid w:val="00AD42C4"/>
    <w:rsid w:val="00AD4901"/>
    <w:rsid w:val="00AE0C4F"/>
    <w:rsid w:val="00AE5EA4"/>
    <w:rsid w:val="00AF0870"/>
    <w:rsid w:val="00AF23F1"/>
    <w:rsid w:val="00B002CE"/>
    <w:rsid w:val="00B05BA2"/>
    <w:rsid w:val="00B06832"/>
    <w:rsid w:val="00B1248C"/>
    <w:rsid w:val="00B13B37"/>
    <w:rsid w:val="00B14B1B"/>
    <w:rsid w:val="00B17423"/>
    <w:rsid w:val="00B328E1"/>
    <w:rsid w:val="00B42A02"/>
    <w:rsid w:val="00B45D6E"/>
    <w:rsid w:val="00B4605E"/>
    <w:rsid w:val="00B602FC"/>
    <w:rsid w:val="00B624A1"/>
    <w:rsid w:val="00B7083A"/>
    <w:rsid w:val="00B72E45"/>
    <w:rsid w:val="00B75E97"/>
    <w:rsid w:val="00B77F37"/>
    <w:rsid w:val="00B849EE"/>
    <w:rsid w:val="00B908BF"/>
    <w:rsid w:val="00B94CA9"/>
    <w:rsid w:val="00B96664"/>
    <w:rsid w:val="00BA5834"/>
    <w:rsid w:val="00BA5AB8"/>
    <w:rsid w:val="00BA6360"/>
    <w:rsid w:val="00BB5170"/>
    <w:rsid w:val="00BB6BB8"/>
    <w:rsid w:val="00BC0341"/>
    <w:rsid w:val="00BC11BA"/>
    <w:rsid w:val="00BC7E9F"/>
    <w:rsid w:val="00BF767B"/>
    <w:rsid w:val="00C03CD3"/>
    <w:rsid w:val="00C137AC"/>
    <w:rsid w:val="00C22F80"/>
    <w:rsid w:val="00C2695B"/>
    <w:rsid w:val="00C41A6F"/>
    <w:rsid w:val="00C44F01"/>
    <w:rsid w:val="00C524AA"/>
    <w:rsid w:val="00C5336C"/>
    <w:rsid w:val="00C54678"/>
    <w:rsid w:val="00C60673"/>
    <w:rsid w:val="00C65469"/>
    <w:rsid w:val="00C732F2"/>
    <w:rsid w:val="00C751D7"/>
    <w:rsid w:val="00C76C9F"/>
    <w:rsid w:val="00C77D0C"/>
    <w:rsid w:val="00C84C19"/>
    <w:rsid w:val="00C84E62"/>
    <w:rsid w:val="00C94CD0"/>
    <w:rsid w:val="00C95417"/>
    <w:rsid w:val="00CA2D37"/>
    <w:rsid w:val="00CA35C5"/>
    <w:rsid w:val="00CB2780"/>
    <w:rsid w:val="00CC2455"/>
    <w:rsid w:val="00CC43EA"/>
    <w:rsid w:val="00CC5CB6"/>
    <w:rsid w:val="00CD270F"/>
    <w:rsid w:val="00CD5EEE"/>
    <w:rsid w:val="00CF2236"/>
    <w:rsid w:val="00CF2894"/>
    <w:rsid w:val="00CF2BDE"/>
    <w:rsid w:val="00D055EC"/>
    <w:rsid w:val="00D0735B"/>
    <w:rsid w:val="00D23283"/>
    <w:rsid w:val="00D23466"/>
    <w:rsid w:val="00D325BD"/>
    <w:rsid w:val="00D33687"/>
    <w:rsid w:val="00D3446D"/>
    <w:rsid w:val="00D34B4E"/>
    <w:rsid w:val="00D3760D"/>
    <w:rsid w:val="00D404ED"/>
    <w:rsid w:val="00D51261"/>
    <w:rsid w:val="00D54110"/>
    <w:rsid w:val="00D60662"/>
    <w:rsid w:val="00D6111F"/>
    <w:rsid w:val="00D66966"/>
    <w:rsid w:val="00D72163"/>
    <w:rsid w:val="00D748D3"/>
    <w:rsid w:val="00D876D1"/>
    <w:rsid w:val="00DA2BDF"/>
    <w:rsid w:val="00DB2F7D"/>
    <w:rsid w:val="00DB73E6"/>
    <w:rsid w:val="00DD230F"/>
    <w:rsid w:val="00DD3642"/>
    <w:rsid w:val="00DD6926"/>
    <w:rsid w:val="00DE762C"/>
    <w:rsid w:val="00DF04BC"/>
    <w:rsid w:val="00DF3AD2"/>
    <w:rsid w:val="00E06512"/>
    <w:rsid w:val="00E13FEA"/>
    <w:rsid w:val="00E2043A"/>
    <w:rsid w:val="00E227E7"/>
    <w:rsid w:val="00E32708"/>
    <w:rsid w:val="00E464BF"/>
    <w:rsid w:val="00E479BE"/>
    <w:rsid w:val="00E54CE8"/>
    <w:rsid w:val="00E74945"/>
    <w:rsid w:val="00E757BB"/>
    <w:rsid w:val="00E770C8"/>
    <w:rsid w:val="00E82476"/>
    <w:rsid w:val="00E9097D"/>
    <w:rsid w:val="00EA5418"/>
    <w:rsid w:val="00EC7D24"/>
    <w:rsid w:val="00ED16FA"/>
    <w:rsid w:val="00ED7A80"/>
    <w:rsid w:val="00EE0D9A"/>
    <w:rsid w:val="00EF1589"/>
    <w:rsid w:val="00EF4AF6"/>
    <w:rsid w:val="00EF5A78"/>
    <w:rsid w:val="00F07F89"/>
    <w:rsid w:val="00F1292F"/>
    <w:rsid w:val="00F17883"/>
    <w:rsid w:val="00F272DA"/>
    <w:rsid w:val="00F35918"/>
    <w:rsid w:val="00F41A59"/>
    <w:rsid w:val="00F574B1"/>
    <w:rsid w:val="00F63A35"/>
    <w:rsid w:val="00F650C0"/>
    <w:rsid w:val="00F837EE"/>
    <w:rsid w:val="00F96944"/>
    <w:rsid w:val="00FA0623"/>
    <w:rsid w:val="00FB77E4"/>
    <w:rsid w:val="00FC3675"/>
    <w:rsid w:val="00FD32DC"/>
    <w:rsid w:val="00FE6888"/>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2C1592F-5758-41F0-A347-A3A6E0F5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48342529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41421063">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135950262">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05838214">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 w:id="1690839959">
      <w:bodyDiv w:val="1"/>
      <w:marLeft w:val="0"/>
      <w:marRight w:val="0"/>
      <w:marTop w:val="0"/>
      <w:marBottom w:val="0"/>
      <w:divBdr>
        <w:top w:val="none" w:sz="0" w:space="0" w:color="auto"/>
        <w:left w:val="none" w:sz="0" w:space="0" w:color="auto"/>
        <w:bottom w:val="none" w:sz="0" w:space="0" w:color="auto"/>
        <w:right w:val="none" w:sz="0" w:space="0" w:color="auto"/>
      </w:divBdr>
    </w:div>
    <w:div w:id="1771507718">
      <w:bodyDiv w:val="1"/>
      <w:marLeft w:val="0"/>
      <w:marRight w:val="0"/>
      <w:marTop w:val="0"/>
      <w:marBottom w:val="0"/>
      <w:divBdr>
        <w:top w:val="none" w:sz="0" w:space="0" w:color="auto"/>
        <w:left w:val="none" w:sz="0" w:space="0" w:color="auto"/>
        <w:bottom w:val="none" w:sz="0" w:space="0" w:color="auto"/>
        <w:right w:val="none" w:sz="0" w:space="0" w:color="auto"/>
      </w:divBdr>
    </w:div>
    <w:div w:id="19100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A1EF-7E87-4509-98B4-91D59D59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2852</Words>
  <Characters>15687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Ines</cp:lastModifiedBy>
  <cp:revision>4</cp:revision>
  <cp:lastPrinted>2017-04-20T19:55:00Z</cp:lastPrinted>
  <dcterms:created xsi:type="dcterms:W3CDTF">2018-03-07T17:13:00Z</dcterms:created>
  <dcterms:modified xsi:type="dcterms:W3CDTF">2018-03-12T23:09:00Z</dcterms:modified>
</cp:coreProperties>
</file>