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37" w:rsidRPr="005159D2" w:rsidRDefault="00A32B37" w:rsidP="00A32B37">
      <w:pPr>
        <w:jc w:val="center"/>
        <w:rPr>
          <w:rFonts w:ascii="Arial" w:hAnsi="Arial" w:cs="Arial"/>
          <w:b/>
          <w:sz w:val="20"/>
          <w:szCs w:val="20"/>
        </w:rPr>
      </w:pPr>
      <w:bookmarkStart w:id="0" w:name="_GoBack"/>
      <w:bookmarkEnd w:id="0"/>
      <w:r w:rsidRPr="005159D2">
        <w:rPr>
          <w:rFonts w:ascii="Arial" w:hAnsi="Arial" w:cs="Arial"/>
          <w:b/>
          <w:sz w:val="20"/>
          <w:szCs w:val="20"/>
        </w:rPr>
        <w:t>NOTAS DE GESTIÓN ADMINISTRATIVA</w:t>
      </w:r>
    </w:p>
    <w:p w:rsidR="00A32B37" w:rsidRPr="005159D2" w:rsidRDefault="00A32B37" w:rsidP="00A32B37">
      <w:pPr>
        <w:spacing w:line="240" w:lineRule="auto"/>
        <w:jc w:val="both"/>
        <w:rPr>
          <w:rFonts w:ascii="Arial" w:hAnsi="Arial" w:cs="Arial"/>
          <w:sz w:val="20"/>
          <w:szCs w:val="20"/>
        </w:rPr>
      </w:pPr>
      <w:r w:rsidRPr="005159D2">
        <w:rPr>
          <w:rFonts w:ascii="Arial" w:hAnsi="Arial" w:cs="Arial"/>
          <w:b/>
          <w:sz w:val="20"/>
          <w:szCs w:val="20"/>
        </w:rPr>
        <w:t>1. Introducción:</w:t>
      </w:r>
    </w:p>
    <w:p w:rsidR="00A32B37" w:rsidRPr="005159D2" w:rsidRDefault="00A32B37" w:rsidP="00A32B37">
      <w:pPr>
        <w:spacing w:line="240" w:lineRule="auto"/>
        <w:rPr>
          <w:rFonts w:ascii="Arial" w:hAnsi="Arial" w:cs="Arial"/>
          <w:sz w:val="20"/>
          <w:szCs w:val="20"/>
        </w:rPr>
      </w:pPr>
      <w:r w:rsidRPr="005159D2">
        <w:rPr>
          <w:rFonts w:ascii="Arial" w:hAnsi="Arial" w:cs="Arial"/>
          <w:sz w:val="20"/>
          <w:szCs w:val="20"/>
        </w:rPr>
        <w:t xml:space="preserve">La Universidad realiza actividades Educativas </w:t>
      </w:r>
    </w:p>
    <w:p w:rsidR="00A32B37" w:rsidRDefault="00A32B37" w:rsidP="00A32B37">
      <w:pPr>
        <w:spacing w:line="240" w:lineRule="auto"/>
        <w:jc w:val="both"/>
        <w:rPr>
          <w:rFonts w:ascii="Arial" w:hAnsi="Arial" w:cs="Arial"/>
          <w:b/>
          <w:sz w:val="20"/>
          <w:szCs w:val="20"/>
        </w:rPr>
      </w:pPr>
      <w:r w:rsidRPr="005159D2">
        <w:rPr>
          <w:rFonts w:ascii="Arial" w:hAnsi="Arial" w:cs="Arial"/>
          <w:b/>
          <w:sz w:val="20"/>
          <w:szCs w:val="20"/>
        </w:rPr>
        <w:t>2. Describir el panorama Económico y Financiero:</w:t>
      </w:r>
    </w:p>
    <w:p w:rsidR="00A32B37" w:rsidRPr="005159D2" w:rsidRDefault="00A32B37" w:rsidP="00A32B37">
      <w:pPr>
        <w:spacing w:line="240" w:lineRule="auto"/>
        <w:jc w:val="both"/>
        <w:rPr>
          <w:rFonts w:ascii="Arial" w:hAnsi="Arial" w:cs="Arial"/>
          <w:b/>
          <w:sz w:val="20"/>
          <w:szCs w:val="20"/>
        </w:rPr>
      </w:pPr>
      <w:r w:rsidRPr="005159D2">
        <w:rPr>
          <w:rFonts w:ascii="Arial" w:hAnsi="Arial" w:cs="Arial"/>
          <w:sz w:val="20"/>
          <w:szCs w:val="20"/>
        </w:rPr>
        <w:t>________________________________________________________________________________________________________________</w:t>
      </w:r>
    </w:p>
    <w:p w:rsidR="00A32B37" w:rsidRPr="005159D2" w:rsidRDefault="00A32B37" w:rsidP="00A32B37">
      <w:pPr>
        <w:spacing w:line="240" w:lineRule="auto"/>
        <w:jc w:val="both"/>
        <w:rPr>
          <w:rFonts w:ascii="Arial" w:hAnsi="Arial" w:cs="Arial"/>
          <w:b/>
          <w:sz w:val="20"/>
          <w:szCs w:val="20"/>
        </w:rPr>
      </w:pPr>
      <w:r w:rsidRPr="005159D2">
        <w:rPr>
          <w:rFonts w:ascii="Arial" w:hAnsi="Arial" w:cs="Arial"/>
          <w:b/>
          <w:sz w:val="20"/>
          <w:szCs w:val="20"/>
        </w:rPr>
        <w:t>3. Autorización e Historia:</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a) Fecha de creación del ente.</w:t>
      </w:r>
    </w:p>
    <w:p w:rsidR="00A32B37" w:rsidRPr="005159D2" w:rsidRDefault="00A32B37" w:rsidP="00A32B37">
      <w:pPr>
        <w:spacing w:line="240" w:lineRule="auto"/>
        <w:jc w:val="both"/>
        <w:rPr>
          <w:rFonts w:ascii="Arial" w:eastAsia="Times New Roman" w:hAnsi="Arial" w:cs="Arial"/>
          <w:sz w:val="20"/>
          <w:szCs w:val="20"/>
          <w:lang w:eastAsia="es-MX"/>
        </w:rPr>
      </w:pPr>
      <w:r w:rsidRPr="005159D2">
        <w:rPr>
          <w:rFonts w:ascii="Arial" w:eastAsia="Times New Roman" w:hAnsi="Arial" w:cs="Arial"/>
          <w:sz w:val="20"/>
          <w:szCs w:val="20"/>
          <w:lang w:eastAsia="es-MX"/>
        </w:rPr>
        <w:t>1</w:t>
      </w:r>
      <w:r>
        <w:rPr>
          <w:rFonts w:ascii="Arial" w:eastAsia="Times New Roman" w:hAnsi="Arial" w:cs="Arial"/>
          <w:sz w:val="20"/>
          <w:szCs w:val="20"/>
          <w:lang w:eastAsia="es-MX"/>
        </w:rPr>
        <w:t>4</w:t>
      </w:r>
      <w:r w:rsidRPr="005159D2">
        <w:rPr>
          <w:rFonts w:ascii="Arial" w:eastAsia="Times New Roman" w:hAnsi="Arial" w:cs="Arial"/>
          <w:sz w:val="20"/>
          <w:szCs w:val="20"/>
          <w:lang w:eastAsia="es-MX"/>
        </w:rPr>
        <w:t xml:space="preserve"> de septiembre de 2010</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b) Principales cambios en su estructura.</w:t>
      </w:r>
    </w:p>
    <w:p w:rsidR="00A32B37" w:rsidRPr="005159D2" w:rsidRDefault="00A32B37" w:rsidP="00A32B37">
      <w:pPr>
        <w:pStyle w:val="Prrafodelista"/>
        <w:spacing w:before="240" w:line="240" w:lineRule="auto"/>
        <w:ind w:left="0"/>
        <w:jc w:val="both"/>
        <w:rPr>
          <w:rFonts w:ascii="Arial" w:hAnsi="Arial" w:cs="Arial"/>
          <w:sz w:val="20"/>
          <w:szCs w:val="20"/>
        </w:rPr>
      </w:pPr>
      <w:r w:rsidRPr="005159D2">
        <w:rPr>
          <w:rFonts w:ascii="Arial" w:hAnsi="Arial" w:cs="Arial"/>
          <w:sz w:val="20"/>
          <w:szCs w:val="20"/>
        </w:rPr>
        <w:t xml:space="preserve">Etapa “B” </w:t>
      </w:r>
    </w:p>
    <w:p w:rsidR="00A32B37" w:rsidRPr="005159D2" w:rsidRDefault="00A32B37" w:rsidP="00A32B37">
      <w:pPr>
        <w:pStyle w:val="Prrafodelista"/>
        <w:spacing w:line="240" w:lineRule="auto"/>
        <w:ind w:left="0"/>
        <w:jc w:val="both"/>
        <w:rPr>
          <w:rFonts w:ascii="Arial" w:hAnsi="Arial" w:cs="Arial"/>
          <w:sz w:val="20"/>
          <w:szCs w:val="20"/>
        </w:rPr>
      </w:pPr>
      <w:r>
        <w:rPr>
          <w:rFonts w:ascii="Arial" w:hAnsi="Arial" w:cs="Arial"/>
          <w:sz w:val="20"/>
          <w:szCs w:val="20"/>
        </w:rPr>
        <w:t xml:space="preserve">De 13 a 14 carreras, de </w:t>
      </w:r>
      <w:r w:rsidR="00D166FB">
        <w:rPr>
          <w:rFonts w:ascii="Arial" w:hAnsi="Arial" w:cs="Arial"/>
          <w:sz w:val="20"/>
          <w:szCs w:val="20"/>
        </w:rPr>
        <w:t>700</w:t>
      </w:r>
      <w:r>
        <w:rPr>
          <w:rFonts w:ascii="Arial" w:hAnsi="Arial" w:cs="Arial"/>
          <w:sz w:val="20"/>
          <w:szCs w:val="20"/>
        </w:rPr>
        <w:t xml:space="preserve"> a </w:t>
      </w:r>
      <w:r w:rsidR="00D166FB">
        <w:rPr>
          <w:rFonts w:ascii="Arial" w:hAnsi="Arial" w:cs="Arial"/>
          <w:sz w:val="20"/>
          <w:szCs w:val="20"/>
        </w:rPr>
        <w:t>750</w:t>
      </w:r>
      <w:r w:rsidRPr="005159D2">
        <w:rPr>
          <w:rFonts w:ascii="Arial" w:hAnsi="Arial" w:cs="Arial"/>
          <w:sz w:val="20"/>
          <w:szCs w:val="20"/>
        </w:rPr>
        <w:t xml:space="preserve"> alumnos.</w:t>
      </w:r>
    </w:p>
    <w:p w:rsidR="00A32B37" w:rsidRPr="005159D2" w:rsidRDefault="00A32B37" w:rsidP="00A32B37">
      <w:pPr>
        <w:spacing w:line="240" w:lineRule="auto"/>
        <w:jc w:val="both"/>
        <w:rPr>
          <w:rFonts w:ascii="Arial" w:hAnsi="Arial" w:cs="Arial"/>
          <w:b/>
          <w:sz w:val="20"/>
          <w:szCs w:val="20"/>
        </w:rPr>
      </w:pPr>
      <w:r w:rsidRPr="005159D2">
        <w:rPr>
          <w:rFonts w:ascii="Arial" w:hAnsi="Arial" w:cs="Arial"/>
          <w:b/>
          <w:sz w:val="20"/>
          <w:szCs w:val="20"/>
        </w:rPr>
        <w:t>4. Organización y Objeto Social:</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a) Objeto social.</w:t>
      </w:r>
    </w:p>
    <w:p w:rsidR="00A32B37" w:rsidRPr="005159D2" w:rsidRDefault="00A32B37" w:rsidP="00A32B37">
      <w:pPr>
        <w:pStyle w:val="Prrafodelista"/>
        <w:spacing w:after="0" w:line="240" w:lineRule="auto"/>
        <w:ind w:left="0"/>
        <w:jc w:val="both"/>
        <w:rPr>
          <w:rFonts w:ascii="Arial" w:eastAsia="Times New Roman" w:hAnsi="Arial" w:cs="Arial"/>
          <w:sz w:val="20"/>
          <w:szCs w:val="20"/>
          <w:lang w:eastAsia="es-MX"/>
        </w:rPr>
      </w:pPr>
      <w:r w:rsidRPr="005159D2">
        <w:rPr>
          <w:rFonts w:ascii="Arial" w:eastAsia="Times New Roman" w:hAnsi="Arial" w:cs="Arial"/>
          <w:sz w:val="20"/>
          <w:szCs w:val="20"/>
          <w:lang w:eastAsia="es-MX"/>
        </w:rPr>
        <w:t>Formar profesionistas de nivel superior universitario que sean productivos dentro de la sociedad de San Miguel de Allende.</w:t>
      </w:r>
    </w:p>
    <w:p w:rsidR="00A32B37" w:rsidRPr="005159D2" w:rsidRDefault="00A32B37" w:rsidP="00A32B37">
      <w:pPr>
        <w:pStyle w:val="Prrafodelista"/>
        <w:spacing w:after="0" w:line="240" w:lineRule="auto"/>
        <w:ind w:left="714"/>
        <w:jc w:val="both"/>
        <w:rPr>
          <w:rFonts w:ascii="Arial" w:eastAsia="Times New Roman" w:hAnsi="Arial" w:cs="Arial"/>
          <w:sz w:val="20"/>
          <w:szCs w:val="20"/>
          <w:lang w:eastAsia="es-MX"/>
        </w:rPr>
      </w:pP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b) Principal actividad.</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Proveer de servicio educativo de calidad de nivel técnico superior universitario, y la continuidad a la licenciatura</w:t>
      </w:r>
      <w:r>
        <w:rPr>
          <w:rFonts w:ascii="Arial" w:hAnsi="Arial" w:cs="Arial"/>
          <w:sz w:val="20"/>
          <w:szCs w:val="20"/>
        </w:rPr>
        <w:t>.</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c) Ejercicio fiscal.</w:t>
      </w:r>
    </w:p>
    <w:p w:rsidR="00A32B37" w:rsidRPr="005159D2" w:rsidRDefault="002670FC" w:rsidP="00A32B37">
      <w:pPr>
        <w:spacing w:line="240" w:lineRule="auto"/>
        <w:jc w:val="both"/>
        <w:rPr>
          <w:rFonts w:ascii="Arial" w:hAnsi="Arial" w:cs="Arial"/>
          <w:sz w:val="20"/>
          <w:szCs w:val="20"/>
        </w:rPr>
      </w:pPr>
      <w:r>
        <w:rPr>
          <w:rFonts w:ascii="Arial" w:hAnsi="Arial" w:cs="Arial"/>
          <w:sz w:val="20"/>
          <w:szCs w:val="20"/>
        </w:rPr>
        <w:t>2024</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d) Régimen jurídico.</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Universidad Tecnológica del Estado de Guanajuato, Persona Moral sin fines de lucro.</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e) Consideraciones fiscales del ente:</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Presentar la declaración y pago provisional mensual de retenciones de Impuesto Sobre la Renta (ISR) por sueldos y salarios.</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Presentar la declaración anual de Impuesto Sobre la Renta (ISR) donde informan sobre los pagos y retenciones de servicios profesionales. (Personas Morales).</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lastRenderedPageBreak/>
        <w:t>Presentar la declaración anual donde se informe sobre las remuneraciones de los trabajadores que reciben sueldos y salarios y trabajadores asimilados a salarios.</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Presentar la declaración informativa anual de Subsidio para el Empleo.</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 xml:space="preserve">Presentar la declaración y pago provisional mensual de retenciones de Impuesto Sobre la Renta (ISR) </w:t>
      </w:r>
      <w:r>
        <w:rPr>
          <w:rFonts w:ascii="Arial" w:hAnsi="Arial" w:cs="Arial"/>
          <w:sz w:val="20"/>
          <w:szCs w:val="20"/>
        </w:rPr>
        <w:t xml:space="preserve">por las retenciones realizadas </w:t>
      </w:r>
      <w:r w:rsidRPr="005159D2">
        <w:rPr>
          <w:rFonts w:ascii="Arial" w:hAnsi="Arial" w:cs="Arial"/>
          <w:sz w:val="20"/>
          <w:szCs w:val="20"/>
        </w:rPr>
        <w:t>por servicios profesionales.</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Presentar la declaración y pago provisional mensual de retenciones de Impuesto Sobre la Renta (ISR) por las retenciones realizadas a los trabajadores asimilados a salarios.</w:t>
      </w:r>
    </w:p>
    <w:p w:rsidR="00A32B37" w:rsidRPr="005159D2" w:rsidRDefault="00A32B37" w:rsidP="00A32B37">
      <w:pPr>
        <w:spacing w:line="240" w:lineRule="auto"/>
        <w:jc w:val="both"/>
        <w:rPr>
          <w:rFonts w:ascii="Arial" w:hAnsi="Arial" w:cs="Arial"/>
          <w:sz w:val="20"/>
          <w:szCs w:val="20"/>
        </w:rPr>
      </w:pPr>
      <w:r w:rsidRPr="005159D2">
        <w:rPr>
          <w:rFonts w:ascii="Arial" w:hAnsi="Arial" w:cs="Arial"/>
          <w:sz w:val="20"/>
          <w:szCs w:val="20"/>
        </w:rPr>
        <w:t>f) Estructura organizacional básica.</w:t>
      </w:r>
    </w:p>
    <w:p w:rsidR="00A32B37" w:rsidRDefault="002670FC" w:rsidP="00A32B37">
      <w:pPr>
        <w:jc w:val="center"/>
        <w:rPr>
          <w:rFonts w:ascii="Arial" w:hAnsi="Arial" w:cs="Arial"/>
          <w:sz w:val="20"/>
          <w:szCs w:val="20"/>
        </w:rPr>
      </w:pPr>
      <w:r>
        <w:rPr>
          <w:rFonts w:ascii="Arial" w:hAnsi="Arial" w:cs="Arial"/>
          <w:noProof/>
          <w:sz w:val="20"/>
          <w:szCs w:val="20"/>
          <w:lang w:eastAsia="es-MX"/>
        </w:rPr>
        <w:lastRenderedPageBreak/>
        <w:drawing>
          <wp:inline distT="0" distB="0" distL="0" distR="0">
            <wp:extent cx="8610600" cy="49053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10600" cy="4905375"/>
                    </a:xfrm>
                    <a:prstGeom prst="rect">
                      <a:avLst/>
                    </a:prstGeom>
                    <a:noFill/>
                    <a:ln>
                      <a:noFill/>
                    </a:ln>
                  </pic:spPr>
                </pic:pic>
              </a:graphicData>
            </a:graphic>
          </wp:inline>
        </w:drawing>
      </w:r>
    </w:p>
    <w:p w:rsidR="002670FC" w:rsidRDefault="002670FC" w:rsidP="00A32B37">
      <w:pPr>
        <w:jc w:val="center"/>
        <w:rPr>
          <w:rFonts w:ascii="Arial" w:hAnsi="Arial" w:cs="Arial"/>
          <w:sz w:val="20"/>
          <w:szCs w:val="20"/>
        </w:rPr>
      </w:pPr>
    </w:p>
    <w:p w:rsidR="002670FC" w:rsidRDefault="002670FC" w:rsidP="00A32B37">
      <w:pPr>
        <w:jc w:val="center"/>
        <w:rPr>
          <w:rFonts w:ascii="Arial" w:hAnsi="Arial" w:cs="Arial"/>
          <w:sz w:val="20"/>
          <w:szCs w:val="20"/>
        </w:rPr>
      </w:pPr>
    </w:p>
    <w:p w:rsidR="002670FC" w:rsidRDefault="002670FC" w:rsidP="00A32B37">
      <w:pPr>
        <w:jc w:val="center"/>
        <w:rPr>
          <w:rFonts w:ascii="Arial" w:hAnsi="Arial" w:cs="Arial"/>
          <w:sz w:val="20"/>
          <w:szCs w:val="20"/>
        </w:rPr>
      </w:pPr>
    </w:p>
    <w:p w:rsidR="002670FC" w:rsidRDefault="002670FC" w:rsidP="00A32B37">
      <w:pPr>
        <w:jc w:val="both"/>
        <w:rPr>
          <w:rFonts w:ascii="Arial" w:hAnsi="Arial" w:cs="Arial"/>
          <w:sz w:val="20"/>
          <w:szCs w:val="20"/>
        </w:rPr>
      </w:pPr>
    </w:p>
    <w:p w:rsidR="00A32B37" w:rsidRPr="005159D2" w:rsidRDefault="00A32B37" w:rsidP="00A32B37">
      <w:pPr>
        <w:jc w:val="both"/>
        <w:rPr>
          <w:rFonts w:ascii="Arial" w:hAnsi="Arial" w:cs="Arial"/>
          <w:sz w:val="20"/>
          <w:szCs w:val="20"/>
        </w:rPr>
      </w:pPr>
      <w:r w:rsidRPr="005159D2">
        <w:rPr>
          <w:rFonts w:ascii="Arial" w:hAnsi="Arial" w:cs="Arial"/>
          <w:sz w:val="20"/>
          <w:szCs w:val="20"/>
        </w:rPr>
        <w:lastRenderedPageBreak/>
        <w:t>g) Fideicomisos, mandatos y análogos de los cuales es fideicomitente o fiduciario.</w:t>
      </w:r>
    </w:p>
    <w:p w:rsidR="00A32B37" w:rsidRPr="005159D2" w:rsidRDefault="00A32B37" w:rsidP="00A32B37">
      <w:pPr>
        <w:jc w:val="both"/>
        <w:rPr>
          <w:rFonts w:ascii="Arial" w:hAnsi="Arial" w:cs="Arial"/>
          <w:sz w:val="20"/>
          <w:szCs w:val="20"/>
        </w:rPr>
      </w:pPr>
      <w:r w:rsidRPr="005159D2">
        <w:rPr>
          <w:rFonts w:ascii="Arial" w:hAnsi="Arial" w:cs="Arial"/>
          <w:sz w:val="20"/>
          <w:szCs w:val="20"/>
        </w:rPr>
        <w:t>No se tienen fideicomisos.</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5. Bases de Preparación de los Estados Financieros:</w:t>
      </w:r>
      <w:r w:rsidRPr="003B46E7">
        <w:rPr>
          <w:noProof/>
          <w:lang w:eastAsia="es-MX"/>
        </w:rPr>
        <w:t xml:space="preserve"> </w:t>
      </w:r>
    </w:p>
    <w:p w:rsidR="00A32B37" w:rsidRPr="005159D2" w:rsidRDefault="00A32B37" w:rsidP="00A32B37">
      <w:pPr>
        <w:jc w:val="both"/>
        <w:rPr>
          <w:rFonts w:ascii="Arial" w:hAnsi="Arial" w:cs="Arial"/>
          <w:sz w:val="20"/>
          <w:szCs w:val="20"/>
        </w:rPr>
      </w:pPr>
      <w:r w:rsidRPr="005159D2">
        <w:rPr>
          <w:rFonts w:ascii="Arial" w:hAnsi="Arial" w:cs="Arial"/>
          <w:sz w:val="20"/>
          <w:szCs w:val="20"/>
        </w:rPr>
        <w:t>a) Si se ha observado la normatividad emitida por el CONAC y las disposiciones legales aplicables.</w:t>
      </w:r>
    </w:p>
    <w:p w:rsidR="00A32B37" w:rsidRPr="005159D2" w:rsidRDefault="00A32B37" w:rsidP="00A32B37">
      <w:pPr>
        <w:jc w:val="both"/>
        <w:rPr>
          <w:rFonts w:ascii="Arial" w:hAnsi="Arial" w:cs="Arial"/>
          <w:sz w:val="20"/>
          <w:szCs w:val="20"/>
        </w:rPr>
      </w:pPr>
      <w:r w:rsidRPr="005159D2">
        <w:rPr>
          <w:rFonts w:ascii="Arial" w:hAnsi="Arial" w:cs="Arial"/>
          <w:sz w:val="20"/>
          <w:szCs w:val="20"/>
        </w:rPr>
        <w:t>Las Bases de Preparación de los Estados Financieros observan en cierta medida la normatividad emitida por el CONAC y las disposiciones legales aplicables.</w:t>
      </w:r>
    </w:p>
    <w:p w:rsidR="00A32B37" w:rsidRPr="005159D2" w:rsidRDefault="00A32B37" w:rsidP="00A32B37">
      <w:pPr>
        <w:jc w:val="both"/>
        <w:rPr>
          <w:rFonts w:ascii="Arial" w:hAnsi="Arial" w:cs="Arial"/>
          <w:sz w:val="20"/>
          <w:szCs w:val="20"/>
        </w:rPr>
      </w:pPr>
      <w:r w:rsidRPr="005159D2">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A32B37" w:rsidRPr="005159D2" w:rsidRDefault="00A32B37" w:rsidP="00A32B37">
      <w:pPr>
        <w:jc w:val="both"/>
        <w:rPr>
          <w:rFonts w:ascii="Arial" w:hAnsi="Arial" w:cs="Arial"/>
          <w:sz w:val="20"/>
          <w:szCs w:val="20"/>
        </w:rPr>
      </w:pPr>
      <w:r w:rsidRPr="005159D2">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A32B37" w:rsidRPr="005159D2" w:rsidRDefault="00041D9D" w:rsidP="00A32B37">
      <w:pPr>
        <w:jc w:val="both"/>
        <w:rPr>
          <w:rFonts w:ascii="Arial" w:hAnsi="Arial" w:cs="Arial"/>
          <w:sz w:val="20"/>
          <w:szCs w:val="20"/>
        </w:rPr>
      </w:pPr>
      <w:r>
        <w:rPr>
          <w:noProof/>
          <w:lang w:eastAsia="es-MX"/>
        </w:rPr>
        <mc:AlternateContent>
          <mc:Choice Requires="wps">
            <w:drawing>
              <wp:anchor distT="0" distB="0" distL="114300" distR="114300" simplePos="0" relativeHeight="251659264" behindDoc="0" locked="0" layoutInCell="1" allowOverlap="1" wp14:anchorId="1B40D843" wp14:editId="21B54F71">
                <wp:simplePos x="0" y="0"/>
                <wp:positionH relativeFrom="column">
                  <wp:posOffset>1270000</wp:posOffset>
                </wp:positionH>
                <wp:positionV relativeFrom="paragraph">
                  <wp:posOffset>7620</wp:posOffset>
                </wp:positionV>
                <wp:extent cx="1755140" cy="246380"/>
                <wp:effectExtent l="0" t="0" r="0" b="0"/>
                <wp:wrapNone/>
                <wp:docPr id="8" name="Rectángulo 8">
                  <a:extLst xmlns:a="http://schemas.openxmlformats.org/drawingml/2006/main">
                    <a:ext uri="{FF2B5EF4-FFF2-40B4-BE49-F238E27FC236}">
                      <a16:creationId xmlns:a16="http://schemas.microsoft.com/office/drawing/2014/main" id="{00000000-0008-0000-16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46380"/>
                        </a:xfrm>
                        <a:prstGeom prst="rect">
                          <a:avLst/>
                        </a:prstGeom>
                        <a:noFill/>
                      </wps:spPr>
                      <wps:txbx>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1B40D843" id="Rectángulo 8" o:spid="_x0000_s1026" style="position:absolute;left:0;text-align:left;margin-left:100pt;margin-top:.6pt;width:138.2pt;height:1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" filled="f" stroked="f">
                <v:path arrowok="t"/>
                <v:textbox style="mso-fit-shape-to-text:t">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v:textbox>
              </v:rect>
            </w:pict>
          </mc:Fallback>
        </mc:AlternateContent>
      </w:r>
      <w:r w:rsidR="00A32B37" w:rsidRPr="005159D2">
        <w:rPr>
          <w:rFonts w:ascii="Arial" w:hAnsi="Arial" w:cs="Arial"/>
          <w:sz w:val="20"/>
          <w:szCs w:val="20"/>
        </w:rPr>
        <w:t>c) Postulados básicos.</w:t>
      </w:r>
    </w:p>
    <w:p w:rsidR="00A32B37" w:rsidRPr="005159D2" w:rsidRDefault="00A32B37" w:rsidP="00A32B37">
      <w:pPr>
        <w:jc w:val="both"/>
        <w:rPr>
          <w:rFonts w:ascii="Arial" w:hAnsi="Arial" w:cs="Arial"/>
          <w:sz w:val="20"/>
          <w:szCs w:val="20"/>
        </w:rPr>
      </w:pPr>
      <w:r w:rsidRPr="005159D2">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rsidR="00A32B37" w:rsidRPr="005159D2" w:rsidRDefault="00A32B37" w:rsidP="00A32B37">
      <w:pPr>
        <w:jc w:val="both"/>
        <w:rPr>
          <w:rFonts w:ascii="Arial" w:hAnsi="Arial" w:cs="Arial"/>
          <w:sz w:val="20"/>
          <w:szCs w:val="20"/>
        </w:rPr>
      </w:pPr>
      <w:r w:rsidRPr="005159D2">
        <w:rPr>
          <w:rFonts w:ascii="Arial" w:hAnsi="Arial" w:cs="Arial"/>
          <w:sz w:val="20"/>
          <w:szCs w:val="20"/>
        </w:rPr>
        <w:t>d) Normatividad supletoria.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e) Para las entidades que por primera vez estén implementando la base devengado de acuerdo a la Ley de Contabilidad, deberán:</w:t>
      </w:r>
    </w:p>
    <w:p w:rsidR="00A32B37" w:rsidRPr="005159D2" w:rsidRDefault="00A32B37" w:rsidP="00A32B37">
      <w:pPr>
        <w:jc w:val="both"/>
        <w:rPr>
          <w:rFonts w:ascii="Arial" w:hAnsi="Arial" w:cs="Arial"/>
          <w:sz w:val="20"/>
          <w:szCs w:val="20"/>
        </w:rPr>
      </w:pPr>
      <w:r w:rsidRPr="005159D2">
        <w:rPr>
          <w:rFonts w:cs="Arial"/>
          <w:sz w:val="20"/>
          <w:szCs w:val="20"/>
        </w:rPr>
        <w:t>‐</w:t>
      </w:r>
      <w:r w:rsidRPr="005159D2">
        <w:rPr>
          <w:rFonts w:ascii="Arial" w:hAnsi="Arial" w:cs="Arial"/>
          <w:sz w:val="20"/>
          <w:szCs w:val="20"/>
        </w:rPr>
        <w:t>Revelar las nuevas políticas de reconocimiento:</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cs="Arial"/>
          <w:sz w:val="20"/>
          <w:szCs w:val="20"/>
        </w:rPr>
        <w:t>‐</w:t>
      </w:r>
      <w:r w:rsidRPr="005159D2">
        <w:rPr>
          <w:rFonts w:ascii="Arial" w:hAnsi="Arial" w:cs="Arial"/>
          <w:sz w:val="20"/>
          <w:szCs w:val="20"/>
        </w:rPr>
        <w:t>Plan de implementación:</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cs="Arial"/>
          <w:sz w:val="20"/>
          <w:szCs w:val="20"/>
        </w:rPr>
        <w:t>‐</w:t>
      </w:r>
      <w:r w:rsidRPr="005159D2">
        <w:rPr>
          <w:rFonts w:ascii="Arial" w:hAnsi="Arial" w:cs="Arial"/>
          <w:sz w:val="20"/>
          <w:szCs w:val="20"/>
        </w:rPr>
        <w:t>Revelar los cambios en las políticas, la clasificación y medición de las mismas, así como su impacto en la información financiera: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cs="Arial"/>
          <w:sz w:val="20"/>
          <w:szCs w:val="20"/>
        </w:rPr>
        <w:lastRenderedPageBreak/>
        <w:t>‐</w:t>
      </w:r>
      <w:r w:rsidRPr="005159D2">
        <w:rPr>
          <w:rFonts w:ascii="Arial" w:hAnsi="Arial" w:cs="Arial"/>
          <w:sz w:val="20"/>
          <w:szCs w:val="20"/>
        </w:rPr>
        <w:t>Presentar los últimos estados financieros con la normatividad anteriormente utilizada con las nuevas políticas para fines de comparación en la transición a la base devengado.</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6. Políticas de Contabilidad Significativas:</w:t>
      </w:r>
    </w:p>
    <w:p w:rsidR="00A32B37" w:rsidRPr="005159D2" w:rsidRDefault="00A32B37" w:rsidP="00A32B37">
      <w:pPr>
        <w:jc w:val="both"/>
        <w:rPr>
          <w:rFonts w:ascii="Arial" w:hAnsi="Arial" w:cs="Arial"/>
          <w:sz w:val="20"/>
          <w:szCs w:val="20"/>
        </w:rPr>
      </w:pPr>
      <w:r>
        <w:rPr>
          <w:rFonts w:ascii="Arial" w:hAnsi="Arial" w:cs="Arial"/>
          <w:b/>
          <w:noProof/>
          <w:sz w:val="20"/>
          <w:szCs w:val="20"/>
          <w:lang w:eastAsia="es-MX"/>
        </w:rPr>
        <mc:AlternateContent>
          <mc:Choice Requires="wps">
            <w:drawing>
              <wp:anchor distT="0" distB="0" distL="114300" distR="114300" simplePos="0" relativeHeight="251660288" behindDoc="0" locked="0" layoutInCell="1" allowOverlap="1">
                <wp:simplePos x="0" y="0"/>
                <wp:positionH relativeFrom="column">
                  <wp:posOffset>1176655</wp:posOffset>
                </wp:positionH>
                <wp:positionV relativeFrom="paragraph">
                  <wp:posOffset>75565</wp:posOffset>
                </wp:positionV>
                <wp:extent cx="1755140" cy="246380"/>
                <wp:effectExtent l="0" t="0" r="0" b="0"/>
                <wp:wrapNone/>
                <wp:docPr id="7" name="Rectángulo 7">
                  <a:extLst xmlns:a="http://schemas.openxmlformats.org/drawingml/2006/main">
                    <a:ext uri="{FF2B5EF4-FFF2-40B4-BE49-F238E27FC236}">
                      <a16:creationId xmlns:a16="http://schemas.microsoft.com/office/drawing/2014/main" id="{00000000-0008-0000-16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46380"/>
                        </a:xfrm>
                        <a:prstGeom prst="rect">
                          <a:avLst/>
                        </a:prstGeom>
                        <a:noFill/>
                      </wps:spPr>
                      <wps:txbx>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id="Rectángulo 7" o:spid="_x0000_s1027" style="position:absolute;left:0;text-align:left;margin-left:92.65pt;margin-top:5.95pt;width:138.2pt;height:19.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" filled="f" stroked="f">
                <v:path arrowok="t"/>
                <v:textbox style="mso-fit-shape-to-text:t">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v:textbox>
              </v:rect>
            </w:pict>
          </mc:Fallback>
        </mc:AlternateContent>
      </w:r>
      <w:r w:rsidRPr="005159D2">
        <w:rPr>
          <w:rFonts w:ascii="Arial" w:hAnsi="Arial" w:cs="Arial"/>
          <w:sz w:val="20"/>
          <w:szCs w:val="20"/>
        </w:rPr>
        <w:t>a) Actualización:</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b) Informar sobre la realización de operaciones en el extranjero y de sus efectos en la información financiera gubernamental:</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c) Método de valuación de la inversión en acciones de Compañías subsidiarias no consolidadas y asociadas:</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d) Sistema y método de valuación de inventarios y costo de lo vendido:</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e) Beneficios a empleados:</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f) Provisiones:</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g) Reservas:</w:t>
      </w:r>
    </w:p>
    <w:p w:rsidR="00A32B37" w:rsidRPr="005159D2" w:rsidRDefault="00A32B37" w:rsidP="00A32B37">
      <w:pPr>
        <w:jc w:val="both"/>
        <w:rPr>
          <w:rFonts w:ascii="Arial" w:hAnsi="Arial" w:cs="Arial"/>
          <w:sz w:val="20"/>
          <w:szCs w:val="20"/>
        </w:rPr>
      </w:pPr>
      <w:r w:rsidRPr="005159D2">
        <w:rPr>
          <w:rFonts w:ascii="Arial" w:hAnsi="Arial" w:cs="Arial"/>
          <w:sz w:val="20"/>
          <w:szCs w:val="20"/>
        </w:rPr>
        <w:t>Se tiene una reserva para contingencias</w:t>
      </w:r>
      <w:r>
        <w:rPr>
          <w:rFonts w:ascii="Arial" w:hAnsi="Arial" w:cs="Arial"/>
          <w:sz w:val="20"/>
          <w:szCs w:val="20"/>
        </w:rPr>
        <w:t xml:space="preserve"> al 3</w:t>
      </w:r>
      <w:r w:rsidR="002670FC">
        <w:rPr>
          <w:rFonts w:ascii="Arial" w:hAnsi="Arial" w:cs="Arial"/>
          <w:sz w:val="20"/>
          <w:szCs w:val="20"/>
        </w:rPr>
        <w:t>0</w:t>
      </w:r>
      <w:r>
        <w:rPr>
          <w:rFonts w:ascii="Arial" w:hAnsi="Arial" w:cs="Arial"/>
          <w:sz w:val="20"/>
          <w:szCs w:val="20"/>
        </w:rPr>
        <w:t xml:space="preserve"> de </w:t>
      </w:r>
      <w:r w:rsidR="001319EB">
        <w:rPr>
          <w:rFonts w:ascii="Arial" w:hAnsi="Arial" w:cs="Arial"/>
          <w:sz w:val="20"/>
          <w:szCs w:val="20"/>
        </w:rPr>
        <w:t>septiembre</w:t>
      </w:r>
      <w:r>
        <w:rPr>
          <w:rFonts w:ascii="Arial" w:hAnsi="Arial" w:cs="Arial"/>
          <w:sz w:val="20"/>
          <w:szCs w:val="20"/>
        </w:rPr>
        <w:t xml:space="preserve"> de 202</w:t>
      </w:r>
      <w:r w:rsidR="002670FC">
        <w:rPr>
          <w:rFonts w:ascii="Arial" w:hAnsi="Arial" w:cs="Arial"/>
          <w:sz w:val="20"/>
          <w:szCs w:val="20"/>
        </w:rPr>
        <w:t>4</w:t>
      </w:r>
      <w:r w:rsidR="00041D9D">
        <w:rPr>
          <w:rFonts w:ascii="Arial" w:hAnsi="Arial" w:cs="Arial"/>
          <w:sz w:val="20"/>
          <w:szCs w:val="20"/>
        </w:rPr>
        <w:t xml:space="preserve"> por un monto de </w:t>
      </w:r>
      <w:r w:rsidR="00041D9D" w:rsidRPr="00041D9D">
        <w:rPr>
          <w:rFonts w:ascii="Arial" w:hAnsi="Arial" w:cs="Arial"/>
          <w:sz w:val="20"/>
        </w:rPr>
        <w:t>$</w:t>
      </w:r>
      <w:r w:rsidR="002670FC">
        <w:rPr>
          <w:rFonts w:ascii="Arial" w:hAnsi="Arial" w:cs="Arial"/>
          <w:sz w:val="20"/>
        </w:rPr>
        <w:t>5,</w:t>
      </w:r>
      <w:r w:rsidR="001319EB">
        <w:rPr>
          <w:rFonts w:ascii="Arial" w:hAnsi="Arial" w:cs="Arial"/>
          <w:sz w:val="20"/>
        </w:rPr>
        <w:t>703,956.78</w:t>
      </w:r>
      <w:r w:rsidR="00041D9D" w:rsidRPr="00041D9D">
        <w:rPr>
          <w:sz w:val="20"/>
        </w:rPr>
        <w:t xml:space="preserve"> </w:t>
      </w:r>
      <w:r w:rsidRPr="005159D2">
        <w:rPr>
          <w:rFonts w:ascii="Arial" w:hAnsi="Arial" w:cs="Arial"/>
          <w:sz w:val="20"/>
          <w:szCs w:val="20"/>
        </w:rPr>
        <w:t>la cual se utilizará en el momento que sea necesario mediante autorización del H. Consejo Directivo.</w:t>
      </w:r>
    </w:p>
    <w:p w:rsidR="00A32B37" w:rsidRPr="005159D2" w:rsidRDefault="00A32B37" w:rsidP="00A32B37">
      <w:pPr>
        <w:jc w:val="both"/>
        <w:rPr>
          <w:rFonts w:ascii="Arial" w:hAnsi="Arial" w:cs="Arial"/>
          <w:sz w:val="20"/>
          <w:szCs w:val="20"/>
        </w:rPr>
      </w:pPr>
      <w:r w:rsidRPr="005159D2">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rsidR="00A32B37" w:rsidRPr="005159D2" w:rsidRDefault="00A32B37" w:rsidP="00A32B37">
      <w:pPr>
        <w:jc w:val="both"/>
        <w:rPr>
          <w:sz w:val="20"/>
          <w:szCs w:val="20"/>
        </w:rPr>
      </w:pPr>
      <w:r w:rsidRPr="005159D2">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w:t>
      </w:r>
      <w:r w:rsidRPr="005159D2">
        <w:rPr>
          <w:sz w:val="20"/>
          <w:szCs w:val="20"/>
          <w:highlight w:val="yellow"/>
        </w:rPr>
        <w:t xml:space="preserve"> </w:t>
      </w:r>
    </w:p>
    <w:p w:rsidR="00A32B37" w:rsidRPr="005159D2" w:rsidRDefault="00A32B37" w:rsidP="00A32B37">
      <w:pPr>
        <w:jc w:val="both"/>
        <w:rPr>
          <w:rFonts w:ascii="Arial" w:hAnsi="Arial" w:cs="Arial"/>
          <w:sz w:val="20"/>
          <w:szCs w:val="20"/>
        </w:rPr>
      </w:pPr>
      <w:r w:rsidRPr="005159D2">
        <w:rPr>
          <w:rFonts w:ascii="Arial" w:hAnsi="Arial" w:cs="Arial"/>
          <w:sz w:val="20"/>
          <w:szCs w:val="20"/>
        </w:rPr>
        <w:t>i) Reclasificaciones:</w:t>
      </w:r>
    </w:p>
    <w:p w:rsidR="00A32B37" w:rsidRPr="005159D2" w:rsidRDefault="00A32B37" w:rsidP="00A32B37">
      <w:pPr>
        <w:jc w:val="both"/>
        <w:rPr>
          <w:rFonts w:ascii="Arial" w:hAnsi="Arial" w:cs="Arial"/>
          <w:sz w:val="20"/>
          <w:szCs w:val="20"/>
        </w:rPr>
      </w:pPr>
      <w:r w:rsidRPr="005159D2">
        <w:rPr>
          <w:rFonts w:ascii="Arial" w:hAnsi="Arial" w:cs="Arial"/>
          <w:sz w:val="20"/>
          <w:szCs w:val="20"/>
        </w:rPr>
        <w:lastRenderedPageBreak/>
        <w:t>j) Depuración y cancelación de saldos:</w:t>
      </w:r>
    </w:p>
    <w:p w:rsidR="00A32B37" w:rsidRPr="005159D2" w:rsidRDefault="00A32B37" w:rsidP="00A32B37">
      <w:pPr>
        <w:jc w:val="both"/>
        <w:rPr>
          <w:rFonts w:ascii="Arial" w:hAnsi="Arial" w:cs="Arial"/>
          <w:b/>
          <w:sz w:val="20"/>
          <w:szCs w:val="20"/>
        </w:rPr>
      </w:pPr>
      <w:r w:rsidRPr="005159D2">
        <w:rPr>
          <w:rFonts w:ascii="Arial" w:hAnsi="Arial" w:cs="Arial"/>
          <w:sz w:val="20"/>
          <w:szCs w:val="20"/>
        </w:rPr>
        <w:t>Se está llevando un análisis y depuración de las cuentas deudoras y acreedoras.</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7. Posición en Moneda Extranjera y Protección por Riesgo Cambiario:</w:t>
      </w:r>
    </w:p>
    <w:p w:rsidR="00A32B37" w:rsidRPr="005159D2" w:rsidRDefault="00A32B37" w:rsidP="00A32B37">
      <w:pPr>
        <w:jc w:val="both"/>
        <w:rPr>
          <w:rFonts w:ascii="Arial" w:hAnsi="Arial" w:cs="Arial"/>
          <w:sz w:val="20"/>
          <w:szCs w:val="20"/>
        </w:rPr>
      </w:pPr>
      <w:r w:rsidRPr="005159D2">
        <w:rPr>
          <w:rFonts w:ascii="Arial" w:hAnsi="Arial" w:cs="Arial"/>
          <w:sz w:val="20"/>
          <w:szCs w:val="20"/>
        </w:rPr>
        <w:t>a) Activos en moneda extranjera: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b) Pasivos en moneda extranjera: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2158365</wp:posOffset>
                </wp:positionH>
                <wp:positionV relativeFrom="paragraph">
                  <wp:posOffset>19050</wp:posOffset>
                </wp:positionV>
                <wp:extent cx="1755140" cy="246380"/>
                <wp:effectExtent l="0" t="0" r="0" b="0"/>
                <wp:wrapNone/>
                <wp:docPr id="6" name="Rectángulo 6">
                  <a:extLst xmlns:a="http://schemas.openxmlformats.org/drawingml/2006/main">
                    <a:ext uri="{FF2B5EF4-FFF2-40B4-BE49-F238E27FC236}">
                      <a16:creationId xmlns:a16="http://schemas.microsoft.com/office/drawing/2014/main" id="{00000000-0008-0000-16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46380"/>
                        </a:xfrm>
                        <a:prstGeom prst="rect">
                          <a:avLst/>
                        </a:prstGeom>
                        <a:noFill/>
                      </wps:spPr>
                      <wps:txbx>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id="Rectángulo 6" o:spid="_x0000_s1028" style="position:absolute;left:0;text-align:left;margin-left:169.95pt;margin-top:1.5pt;width:138.2pt;height:19.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" filled="f" stroked="f">
                <v:path arrowok="t"/>
                <v:textbox style="mso-fit-shape-to-text:t">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v:textbox>
              </v:rect>
            </w:pict>
          </mc:Fallback>
        </mc:AlternateContent>
      </w:r>
      <w:r w:rsidRPr="005159D2">
        <w:rPr>
          <w:rFonts w:ascii="Arial" w:hAnsi="Arial" w:cs="Arial"/>
          <w:sz w:val="20"/>
          <w:szCs w:val="20"/>
        </w:rPr>
        <w:t>c) Posición en moneda extranjera: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d) Tipo de cambio:</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e) Equivalente en moneda nacional:</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Lo anterior por cada tipo de moneda extranjera que se encuentre en los rubros de activo y pasivo.</w:t>
      </w:r>
    </w:p>
    <w:p w:rsidR="00A32B37" w:rsidRPr="005159D2" w:rsidRDefault="00A32B37" w:rsidP="00A32B37">
      <w:pPr>
        <w:jc w:val="both"/>
        <w:rPr>
          <w:rFonts w:ascii="Arial" w:hAnsi="Arial" w:cs="Arial"/>
          <w:sz w:val="20"/>
          <w:szCs w:val="20"/>
        </w:rPr>
      </w:pPr>
      <w:r w:rsidRPr="005159D2">
        <w:rPr>
          <w:rFonts w:ascii="Arial" w:hAnsi="Arial" w:cs="Arial"/>
          <w:sz w:val="20"/>
          <w:szCs w:val="20"/>
        </w:rPr>
        <w:t>Adicionalmente se informará sobre los métodos de protección de riesgo por variaciones en el tipo de cambio.</w:t>
      </w:r>
    </w:p>
    <w:p w:rsidR="00A32B37" w:rsidRPr="005159D2" w:rsidRDefault="00A32B37" w:rsidP="00A32B37">
      <w:pPr>
        <w:jc w:val="both"/>
        <w:rPr>
          <w:rFonts w:ascii="Arial" w:hAnsi="Arial" w:cs="Arial"/>
          <w:b/>
          <w:sz w:val="20"/>
          <w:szCs w:val="20"/>
        </w:rPr>
      </w:pPr>
      <w:r>
        <w:rPr>
          <w:rFonts w:ascii="Arial" w:hAnsi="Arial" w:cs="Arial"/>
          <w:b/>
          <w:noProof/>
          <w:sz w:val="20"/>
          <w:szCs w:val="20"/>
          <w:lang w:eastAsia="es-MX"/>
        </w:rPr>
        <mc:AlternateContent>
          <mc:Choice Requires="wps">
            <w:drawing>
              <wp:anchor distT="0" distB="0" distL="114300" distR="114300" simplePos="0" relativeHeight="251662336" behindDoc="0" locked="0" layoutInCell="1" allowOverlap="1">
                <wp:simplePos x="0" y="0"/>
                <wp:positionH relativeFrom="column">
                  <wp:posOffset>1997075</wp:posOffset>
                </wp:positionH>
                <wp:positionV relativeFrom="paragraph">
                  <wp:posOffset>4445</wp:posOffset>
                </wp:positionV>
                <wp:extent cx="1755140" cy="246380"/>
                <wp:effectExtent l="0" t="0" r="0" b="0"/>
                <wp:wrapNone/>
                <wp:docPr id="4" name="Rectángulo 4">
                  <a:extLst xmlns:a="http://schemas.openxmlformats.org/drawingml/2006/main">
                    <a:ext uri="{FF2B5EF4-FFF2-40B4-BE49-F238E27FC236}">
                      <a16:creationId xmlns:a16="http://schemas.microsoft.com/office/drawing/2014/main" id="{00000000-0008-0000-16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46380"/>
                        </a:xfrm>
                        <a:prstGeom prst="rect">
                          <a:avLst/>
                        </a:prstGeom>
                        <a:noFill/>
                      </wps:spPr>
                      <wps:txbx>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id="Rectángulo 4" o:spid="_x0000_s1029" style="position:absolute;left:0;text-align:left;margin-left:157.25pt;margin-top:.35pt;width:138.2pt;height:19.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" filled="f" stroked="f">
                <v:path arrowok="t"/>
                <v:textbox style="mso-fit-shape-to-text:t">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v:textbox>
              </v:rect>
            </w:pict>
          </mc:Fallback>
        </mc:AlternateContent>
      </w:r>
      <w:r w:rsidRPr="005159D2">
        <w:rPr>
          <w:rFonts w:ascii="Arial" w:hAnsi="Arial" w:cs="Arial"/>
          <w:b/>
          <w:sz w:val="20"/>
          <w:szCs w:val="20"/>
        </w:rPr>
        <w:t>8. Reporte Analítico del Activo:</w:t>
      </w:r>
      <w:r>
        <w:rPr>
          <w:rFonts w:ascii="Arial" w:hAnsi="Arial" w:cs="Arial"/>
          <w:b/>
          <w:sz w:val="20"/>
          <w:szCs w:val="20"/>
        </w:rPr>
        <w:t xml:space="preserve"> </w:t>
      </w:r>
    </w:p>
    <w:p w:rsidR="00A32B37" w:rsidRPr="005159D2" w:rsidRDefault="00A32B37" w:rsidP="00A32B37">
      <w:pPr>
        <w:jc w:val="both"/>
        <w:rPr>
          <w:rFonts w:ascii="Arial" w:hAnsi="Arial" w:cs="Arial"/>
          <w:sz w:val="20"/>
          <w:szCs w:val="20"/>
        </w:rPr>
      </w:pPr>
      <w:r w:rsidRPr="005159D2">
        <w:rPr>
          <w:rFonts w:ascii="Arial" w:hAnsi="Arial" w:cs="Arial"/>
          <w:sz w:val="20"/>
          <w:szCs w:val="20"/>
        </w:rPr>
        <w:t>a) Vida útil o porcentajes de depreciación, deterioro o amortización utilizados en los diferentes tipos de activos:</w:t>
      </w:r>
    </w:p>
    <w:p w:rsidR="00A32B37" w:rsidRPr="005159D2" w:rsidRDefault="00A32B37" w:rsidP="00A32B37">
      <w:pPr>
        <w:jc w:val="both"/>
        <w:rPr>
          <w:rFonts w:ascii="Arial" w:hAnsi="Arial" w:cs="Arial"/>
          <w:sz w:val="20"/>
          <w:szCs w:val="20"/>
        </w:rPr>
      </w:pPr>
    </w:p>
    <w:p w:rsidR="00A32B37" w:rsidRPr="005159D2" w:rsidRDefault="00A32B37" w:rsidP="00A32B37">
      <w:pPr>
        <w:jc w:val="both"/>
        <w:rPr>
          <w:rFonts w:ascii="Arial" w:hAnsi="Arial" w:cs="Arial"/>
          <w:sz w:val="20"/>
          <w:szCs w:val="20"/>
        </w:rPr>
      </w:pPr>
    </w:p>
    <w:p w:rsidR="00A32B37" w:rsidRDefault="00A32B37" w:rsidP="00A32B37">
      <w:pPr>
        <w:jc w:val="both"/>
        <w:rPr>
          <w:rFonts w:ascii="Arial" w:hAnsi="Arial" w:cs="Arial"/>
          <w:sz w:val="20"/>
          <w:szCs w:val="20"/>
        </w:rPr>
      </w:pPr>
    </w:p>
    <w:p w:rsidR="00041D9D" w:rsidRPr="005159D2" w:rsidRDefault="00041D9D" w:rsidP="00A32B37">
      <w:pPr>
        <w:jc w:val="both"/>
        <w:rPr>
          <w:rFonts w:ascii="Arial" w:hAnsi="Arial" w:cs="Arial"/>
          <w:sz w:val="20"/>
          <w:szCs w:val="20"/>
        </w:rPr>
      </w:pPr>
    </w:p>
    <w:tbl>
      <w:tblPr>
        <w:tblW w:w="10304" w:type="dxa"/>
        <w:tblInd w:w="70" w:type="dxa"/>
        <w:tblLayout w:type="fixed"/>
        <w:tblCellMar>
          <w:left w:w="70" w:type="dxa"/>
          <w:right w:w="70" w:type="dxa"/>
        </w:tblCellMar>
        <w:tblLook w:val="04A0" w:firstRow="1" w:lastRow="0" w:firstColumn="1" w:lastColumn="0" w:noHBand="0" w:noVBand="1"/>
      </w:tblPr>
      <w:tblGrid>
        <w:gridCol w:w="1007"/>
        <w:gridCol w:w="6311"/>
        <w:gridCol w:w="1046"/>
        <w:gridCol w:w="1045"/>
        <w:gridCol w:w="895"/>
      </w:tblGrid>
      <w:tr w:rsidR="00A32B37" w:rsidRPr="005159D2" w:rsidTr="00BF4CB1">
        <w:trPr>
          <w:trHeight w:val="322"/>
        </w:trPr>
        <w:tc>
          <w:tcPr>
            <w:tcW w:w="1007" w:type="dxa"/>
            <w:tcBorders>
              <w:top w:val="nil"/>
              <w:left w:val="nil"/>
              <w:bottom w:val="nil"/>
              <w:right w:val="nil"/>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p>
        </w:tc>
        <w:tc>
          <w:tcPr>
            <w:tcW w:w="6311" w:type="dxa"/>
            <w:tcBorders>
              <w:top w:val="nil"/>
              <w:left w:val="nil"/>
              <w:bottom w:val="nil"/>
              <w:right w:val="nil"/>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p>
        </w:tc>
        <w:tc>
          <w:tcPr>
            <w:tcW w:w="2986" w:type="dxa"/>
            <w:gridSpan w:val="3"/>
            <w:tcBorders>
              <w:top w:val="nil"/>
              <w:left w:val="nil"/>
              <w:bottom w:val="single" w:sz="8" w:space="0" w:color="auto"/>
              <w:right w:val="nil"/>
            </w:tcBorders>
            <w:shd w:val="clear" w:color="000000" w:fill="31849B"/>
            <w:vAlign w:val="bottom"/>
            <w:hideMark/>
          </w:tcPr>
          <w:p w:rsidR="00A32B37" w:rsidRPr="005159D2" w:rsidRDefault="00A32B37" w:rsidP="00BF4CB1">
            <w:pPr>
              <w:spacing w:after="0" w:line="240" w:lineRule="auto"/>
              <w:jc w:val="center"/>
              <w:rPr>
                <w:rFonts w:eastAsia="Times New Roman"/>
                <w:b/>
                <w:bCs/>
                <w:color w:val="FFFFFF"/>
                <w:sz w:val="20"/>
                <w:szCs w:val="20"/>
                <w:lang w:eastAsia="es-MX"/>
              </w:rPr>
            </w:pPr>
            <w:r w:rsidRPr="005159D2">
              <w:rPr>
                <w:rFonts w:eastAsia="Times New Roman"/>
                <w:b/>
                <w:bCs/>
                <w:color w:val="FFFFFF"/>
                <w:sz w:val="20"/>
                <w:szCs w:val="20"/>
                <w:lang w:eastAsia="es-MX"/>
              </w:rPr>
              <w:t xml:space="preserve">DEPRECIACION </w:t>
            </w:r>
          </w:p>
        </w:tc>
      </w:tr>
      <w:tr w:rsidR="00A32B37" w:rsidRPr="005159D2" w:rsidTr="00BF4CB1">
        <w:trPr>
          <w:trHeight w:val="509"/>
        </w:trPr>
        <w:tc>
          <w:tcPr>
            <w:tcW w:w="1007" w:type="dxa"/>
            <w:tcBorders>
              <w:top w:val="single" w:sz="8" w:space="0" w:color="auto"/>
              <w:left w:val="nil"/>
              <w:bottom w:val="single" w:sz="8" w:space="0" w:color="auto"/>
              <w:right w:val="nil"/>
            </w:tcBorders>
            <w:shd w:val="clear" w:color="000000" w:fill="31849B"/>
            <w:vAlign w:val="center"/>
            <w:hideMark/>
          </w:tcPr>
          <w:p w:rsidR="00A32B37" w:rsidRPr="005159D2" w:rsidRDefault="00A32B37" w:rsidP="00BF4CB1">
            <w:pPr>
              <w:spacing w:after="0" w:line="240" w:lineRule="auto"/>
              <w:jc w:val="center"/>
              <w:rPr>
                <w:rFonts w:eastAsia="Times New Roman"/>
                <w:b/>
                <w:bCs/>
                <w:color w:val="DBEEF3"/>
                <w:sz w:val="20"/>
                <w:szCs w:val="20"/>
                <w:lang w:eastAsia="es-MX"/>
              </w:rPr>
            </w:pPr>
            <w:r w:rsidRPr="005159D2">
              <w:rPr>
                <w:rFonts w:eastAsia="Times New Roman"/>
                <w:b/>
                <w:bCs/>
                <w:color w:val="DBEEF3"/>
                <w:sz w:val="20"/>
                <w:szCs w:val="20"/>
                <w:lang w:eastAsia="es-MX"/>
              </w:rPr>
              <w:t>Clase de activo</w:t>
            </w:r>
          </w:p>
        </w:tc>
        <w:tc>
          <w:tcPr>
            <w:tcW w:w="6311" w:type="dxa"/>
            <w:tcBorders>
              <w:top w:val="single" w:sz="8" w:space="0" w:color="auto"/>
              <w:left w:val="nil"/>
              <w:bottom w:val="single" w:sz="8" w:space="0" w:color="auto"/>
              <w:right w:val="single" w:sz="8" w:space="0" w:color="auto"/>
            </w:tcBorders>
            <w:shd w:val="clear" w:color="000000" w:fill="31849B"/>
            <w:vAlign w:val="center"/>
            <w:hideMark/>
          </w:tcPr>
          <w:p w:rsidR="00A32B37" w:rsidRPr="005159D2" w:rsidRDefault="00A32B37" w:rsidP="00BF4CB1">
            <w:pPr>
              <w:spacing w:after="0" w:line="240" w:lineRule="auto"/>
              <w:jc w:val="center"/>
              <w:rPr>
                <w:rFonts w:eastAsia="Times New Roman"/>
                <w:b/>
                <w:bCs/>
                <w:color w:val="DBEEF3"/>
                <w:sz w:val="20"/>
                <w:szCs w:val="20"/>
                <w:lang w:eastAsia="es-MX"/>
              </w:rPr>
            </w:pPr>
            <w:r w:rsidRPr="005159D2">
              <w:rPr>
                <w:rFonts w:eastAsia="Times New Roman"/>
                <w:b/>
                <w:bCs/>
                <w:color w:val="DBEEF3"/>
                <w:sz w:val="20"/>
                <w:szCs w:val="20"/>
                <w:lang w:eastAsia="es-MX"/>
              </w:rPr>
              <w:t>Determinación de cuentas</w:t>
            </w:r>
          </w:p>
        </w:tc>
        <w:tc>
          <w:tcPr>
            <w:tcW w:w="1046" w:type="dxa"/>
            <w:tcBorders>
              <w:top w:val="nil"/>
              <w:left w:val="nil"/>
              <w:bottom w:val="single" w:sz="8" w:space="0" w:color="auto"/>
              <w:right w:val="nil"/>
            </w:tcBorders>
            <w:shd w:val="clear" w:color="000000" w:fill="31849B"/>
            <w:vAlign w:val="center"/>
            <w:hideMark/>
          </w:tcPr>
          <w:p w:rsidR="00A32B37" w:rsidRPr="005159D2" w:rsidRDefault="00A32B37" w:rsidP="00BF4CB1">
            <w:pPr>
              <w:spacing w:after="0" w:line="240" w:lineRule="auto"/>
              <w:jc w:val="center"/>
              <w:rPr>
                <w:rFonts w:eastAsia="Times New Roman"/>
                <w:b/>
                <w:bCs/>
                <w:color w:val="FFFFFF"/>
                <w:sz w:val="20"/>
                <w:szCs w:val="20"/>
                <w:lang w:eastAsia="es-MX"/>
              </w:rPr>
            </w:pPr>
            <w:r w:rsidRPr="005159D2">
              <w:rPr>
                <w:rFonts w:eastAsia="Times New Roman"/>
                <w:b/>
                <w:bCs/>
                <w:color w:val="FFFFFF"/>
                <w:sz w:val="20"/>
                <w:szCs w:val="20"/>
                <w:lang w:eastAsia="es-MX"/>
              </w:rPr>
              <w:t>TOTAL MESES</w:t>
            </w:r>
          </w:p>
        </w:tc>
        <w:tc>
          <w:tcPr>
            <w:tcW w:w="1045" w:type="dxa"/>
            <w:tcBorders>
              <w:top w:val="nil"/>
              <w:left w:val="single" w:sz="8" w:space="0" w:color="auto"/>
              <w:bottom w:val="single" w:sz="8" w:space="0" w:color="auto"/>
              <w:right w:val="nil"/>
            </w:tcBorders>
            <w:shd w:val="clear" w:color="000000" w:fill="31849B"/>
            <w:vAlign w:val="center"/>
            <w:hideMark/>
          </w:tcPr>
          <w:p w:rsidR="00A32B37" w:rsidRPr="005159D2" w:rsidRDefault="00A32B37" w:rsidP="00BF4CB1">
            <w:pPr>
              <w:spacing w:after="0" w:line="240" w:lineRule="auto"/>
              <w:jc w:val="center"/>
              <w:rPr>
                <w:rFonts w:eastAsia="Times New Roman"/>
                <w:b/>
                <w:bCs/>
                <w:color w:val="FFFFFF"/>
                <w:sz w:val="20"/>
                <w:szCs w:val="20"/>
                <w:lang w:eastAsia="es-MX"/>
              </w:rPr>
            </w:pPr>
            <w:r w:rsidRPr="005159D2">
              <w:rPr>
                <w:rFonts w:eastAsia="Times New Roman"/>
                <w:b/>
                <w:bCs/>
                <w:color w:val="FFFFFF"/>
                <w:sz w:val="20"/>
                <w:szCs w:val="20"/>
                <w:lang w:eastAsia="es-MX"/>
              </w:rPr>
              <w:t>TOTAL AÑOS</w:t>
            </w:r>
          </w:p>
        </w:tc>
        <w:tc>
          <w:tcPr>
            <w:tcW w:w="895" w:type="dxa"/>
            <w:tcBorders>
              <w:top w:val="nil"/>
              <w:left w:val="single" w:sz="8" w:space="0" w:color="auto"/>
              <w:bottom w:val="single" w:sz="8" w:space="0" w:color="auto"/>
              <w:right w:val="single" w:sz="8" w:space="0" w:color="auto"/>
            </w:tcBorders>
            <w:shd w:val="clear" w:color="000000" w:fill="31849B"/>
            <w:vAlign w:val="center"/>
            <w:hideMark/>
          </w:tcPr>
          <w:p w:rsidR="00A32B37" w:rsidRPr="005159D2" w:rsidRDefault="00A32B37" w:rsidP="00BF4CB1">
            <w:pPr>
              <w:spacing w:after="0" w:line="240" w:lineRule="auto"/>
              <w:jc w:val="center"/>
              <w:rPr>
                <w:rFonts w:eastAsia="Times New Roman"/>
                <w:b/>
                <w:bCs/>
                <w:color w:val="FFFFFF"/>
                <w:sz w:val="20"/>
                <w:szCs w:val="20"/>
                <w:lang w:eastAsia="es-MX"/>
              </w:rPr>
            </w:pPr>
            <w:r w:rsidRPr="005159D2">
              <w:rPr>
                <w:rFonts w:eastAsia="Times New Roman"/>
                <w:b/>
                <w:bCs/>
                <w:color w:val="FFFFFF"/>
                <w:sz w:val="20"/>
                <w:szCs w:val="20"/>
                <w:lang w:eastAsia="es-MX"/>
              </w:rPr>
              <w:t>PORCENTAJE</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5110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MUEBLES DE OFICINA Y ESTANTERIA</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5120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MUEBLES, EXCEPTO DE OFICINA Y ESTANTERIA</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5130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BIENES ARTISTICOS, CULTURALES Y CIENTIFICOS</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5150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EQUIPO DE COMPUTO Y DE TECNOLOGIAS DE LA INFORMACION</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40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3.33</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30.00%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5190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OTROS MOBILIARIOS Y EQUIPOS DE ADMINISTRACION</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5210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EQUIPO Y APARATOS AUDIOVISUALES</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5220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APARATOS DEPORTIVOS</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5230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CÁMARAS FOTOGRÁFICAS Y DE VIDEO</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5290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OTROS MOBILIARIOS Y EQUIPO EDUCACIONAL Y RECREATIVO</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5310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EQUIPO MEDICO Y DE LABORATORIO</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5320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INSTRUMENTAL MEDICO Y DE LABORATORIO</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33</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2.75</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36.36%</w:t>
            </w:r>
          </w:p>
        </w:tc>
      </w:tr>
      <w:tr w:rsidR="00A32B37" w:rsidRPr="005159D2" w:rsidTr="00BF4CB1">
        <w:trPr>
          <w:trHeight w:val="248"/>
        </w:trPr>
        <w:tc>
          <w:tcPr>
            <w:tcW w:w="1007" w:type="dxa"/>
            <w:tcBorders>
              <w:top w:val="nil"/>
              <w:left w:val="single" w:sz="8" w:space="0" w:color="auto"/>
              <w:bottom w:val="nil"/>
              <w:right w:val="nil"/>
            </w:tcBorders>
            <w:shd w:val="clear" w:color="000000" w:fill="FFFFFF"/>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5410</w:t>
            </w:r>
          </w:p>
        </w:tc>
        <w:tc>
          <w:tcPr>
            <w:tcW w:w="6311" w:type="dxa"/>
            <w:tcBorders>
              <w:top w:val="nil"/>
              <w:left w:val="single" w:sz="8" w:space="0" w:color="auto"/>
              <w:bottom w:val="nil"/>
              <w:right w:val="single" w:sz="8" w:space="0" w:color="auto"/>
            </w:tcBorders>
            <w:shd w:val="clear" w:color="000000" w:fill="FFFFFF"/>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AUTOMOVILES Y CAMIONES</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48</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4</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25.00%</w:t>
            </w:r>
          </w:p>
        </w:tc>
      </w:tr>
      <w:tr w:rsidR="00A32B37" w:rsidRPr="005159D2" w:rsidTr="00BF4CB1">
        <w:trPr>
          <w:trHeight w:val="248"/>
        </w:trPr>
        <w:tc>
          <w:tcPr>
            <w:tcW w:w="1007" w:type="dxa"/>
            <w:tcBorders>
              <w:top w:val="nil"/>
              <w:left w:val="single" w:sz="8" w:space="0" w:color="auto"/>
              <w:bottom w:val="nil"/>
              <w:right w:val="nil"/>
            </w:tcBorders>
            <w:shd w:val="clear" w:color="000000" w:fill="FFFFFF"/>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5430</w:t>
            </w:r>
          </w:p>
        </w:tc>
        <w:tc>
          <w:tcPr>
            <w:tcW w:w="6311" w:type="dxa"/>
            <w:tcBorders>
              <w:top w:val="nil"/>
              <w:left w:val="single" w:sz="8" w:space="0" w:color="auto"/>
              <w:bottom w:val="nil"/>
              <w:right w:val="single" w:sz="8" w:space="0" w:color="auto"/>
            </w:tcBorders>
            <w:shd w:val="clear" w:color="000000" w:fill="FFFFFF"/>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EQUIPO AEROESPACIAL</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rPr>
                <w:rFonts w:eastAsia="Times New Roman"/>
                <w:b/>
                <w:bCs/>
                <w:color w:val="215867"/>
                <w:sz w:val="20"/>
                <w:szCs w:val="20"/>
                <w:lang w:eastAsia="es-MX"/>
              </w:rPr>
            </w:pPr>
            <w:r w:rsidRPr="005159D2">
              <w:rPr>
                <w:rFonts w:eastAsia="Times New Roman"/>
                <w:b/>
                <w:bCs/>
                <w:color w:val="215867"/>
                <w:sz w:val="20"/>
                <w:szCs w:val="20"/>
                <w:lang w:eastAsia="es-MX"/>
              </w:rPr>
              <w:t> </w:t>
            </w:r>
          </w:p>
        </w:tc>
      </w:tr>
      <w:tr w:rsidR="00A32B37" w:rsidRPr="005159D2" w:rsidTr="00BF4CB1">
        <w:trPr>
          <w:trHeight w:val="248"/>
        </w:trPr>
        <w:tc>
          <w:tcPr>
            <w:tcW w:w="1007" w:type="dxa"/>
            <w:tcBorders>
              <w:top w:val="nil"/>
              <w:left w:val="single" w:sz="8" w:space="0" w:color="auto"/>
              <w:bottom w:val="nil"/>
              <w:right w:val="nil"/>
            </w:tcBorders>
            <w:shd w:val="clear" w:color="000000" w:fill="FFFFFF"/>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5490</w:t>
            </w:r>
          </w:p>
        </w:tc>
        <w:tc>
          <w:tcPr>
            <w:tcW w:w="6311" w:type="dxa"/>
            <w:tcBorders>
              <w:top w:val="nil"/>
              <w:left w:val="single" w:sz="8" w:space="0" w:color="auto"/>
              <w:bottom w:val="nil"/>
              <w:right w:val="single" w:sz="8" w:space="0" w:color="auto"/>
            </w:tcBorders>
            <w:shd w:val="clear" w:color="000000" w:fill="FFFFFF"/>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OTROS EQUIPOS DE TRANSPORTE</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000000" w:fill="FFFFFF"/>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5510</w:t>
            </w:r>
          </w:p>
        </w:tc>
        <w:tc>
          <w:tcPr>
            <w:tcW w:w="6311" w:type="dxa"/>
            <w:tcBorders>
              <w:top w:val="nil"/>
              <w:left w:val="single" w:sz="8" w:space="0" w:color="auto"/>
              <w:bottom w:val="nil"/>
              <w:right w:val="single" w:sz="8" w:space="0" w:color="auto"/>
            </w:tcBorders>
            <w:shd w:val="clear" w:color="000000" w:fill="FFFFFF"/>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EQUIPO DE DEFENSA Y SEGUURIDAD</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5610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MAQUINARIA Y EQUIPO AGROPECUARIO</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48</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4</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25.00%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5620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MAQUINARIA Y EQUIPO INDUSTRIAL</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5630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MAQUINARIA Y EQUIPO DE CONSTRUCCION</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48</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4</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25.00%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5640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SISTEMA DE AIRE ACONDICIONADO</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76</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6.33</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15.79%</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5650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EQUIPOS DE COMUNICACIONES Y TELECOM.</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76</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6.33</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15.79%</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5660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EQUIPO DE GENERACION ELECTRICA, APARATOS Y ACCESORIOS</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240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20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5.00%</w:t>
            </w:r>
          </w:p>
        </w:tc>
      </w:tr>
      <w:tr w:rsidR="00A32B37" w:rsidRPr="005159D2" w:rsidTr="00BF4CB1">
        <w:trPr>
          <w:trHeight w:val="248"/>
        </w:trPr>
        <w:tc>
          <w:tcPr>
            <w:tcW w:w="1007" w:type="dxa"/>
            <w:tcBorders>
              <w:top w:val="nil"/>
              <w:left w:val="single" w:sz="8" w:space="0" w:color="auto"/>
              <w:bottom w:val="nil"/>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5670</w:t>
            </w:r>
          </w:p>
        </w:tc>
        <w:tc>
          <w:tcPr>
            <w:tcW w:w="6311" w:type="dxa"/>
            <w:tcBorders>
              <w:top w:val="nil"/>
              <w:left w:val="single" w:sz="8" w:space="0" w:color="auto"/>
              <w:bottom w:val="nil"/>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HERRAMIENTAS Y MAQUINAS-HERRAMIENTAS</w:t>
            </w:r>
          </w:p>
        </w:tc>
        <w:tc>
          <w:tcPr>
            <w:tcW w:w="1046"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nil"/>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c>
          <w:tcPr>
            <w:tcW w:w="895" w:type="dxa"/>
            <w:tcBorders>
              <w:top w:val="nil"/>
              <w:left w:val="nil"/>
              <w:bottom w:val="nil"/>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r w:rsidR="00A32B37" w:rsidRPr="005159D2" w:rsidTr="00BF4CB1">
        <w:trPr>
          <w:trHeight w:val="260"/>
        </w:trPr>
        <w:tc>
          <w:tcPr>
            <w:tcW w:w="1007" w:type="dxa"/>
            <w:tcBorders>
              <w:top w:val="nil"/>
              <w:left w:val="single" w:sz="8" w:space="0" w:color="auto"/>
              <w:bottom w:val="single" w:sz="8" w:space="0" w:color="auto"/>
              <w:right w:val="nil"/>
            </w:tcBorders>
            <w:shd w:val="clear" w:color="auto" w:fill="auto"/>
            <w:noWrap/>
            <w:vAlign w:val="bottom"/>
            <w:hideMark/>
          </w:tcPr>
          <w:p w:rsidR="00A32B37" w:rsidRPr="005159D2" w:rsidRDefault="00A32B37" w:rsidP="00BF4CB1">
            <w:pPr>
              <w:spacing w:after="0" w:line="240" w:lineRule="auto"/>
              <w:jc w:val="center"/>
              <w:rPr>
                <w:rFonts w:eastAsia="Times New Roman"/>
                <w:color w:val="000000"/>
                <w:sz w:val="20"/>
                <w:szCs w:val="20"/>
                <w:lang w:eastAsia="es-MX"/>
              </w:rPr>
            </w:pPr>
            <w:r w:rsidRPr="005159D2">
              <w:rPr>
                <w:rFonts w:eastAsia="Times New Roman"/>
                <w:color w:val="000000"/>
                <w:sz w:val="20"/>
                <w:szCs w:val="20"/>
                <w:lang w:eastAsia="es-MX"/>
              </w:rPr>
              <w:t>5690</w:t>
            </w:r>
          </w:p>
        </w:tc>
        <w:tc>
          <w:tcPr>
            <w:tcW w:w="6311" w:type="dxa"/>
            <w:tcBorders>
              <w:top w:val="nil"/>
              <w:left w:val="single" w:sz="8" w:space="0" w:color="auto"/>
              <w:bottom w:val="single" w:sz="8" w:space="0" w:color="auto"/>
              <w:right w:val="single" w:sz="8" w:space="0" w:color="auto"/>
            </w:tcBorders>
            <w:shd w:val="clear" w:color="auto" w:fill="auto"/>
            <w:noWrap/>
            <w:vAlign w:val="bottom"/>
            <w:hideMark/>
          </w:tcPr>
          <w:p w:rsidR="00A32B37" w:rsidRPr="005159D2" w:rsidRDefault="00A32B37" w:rsidP="00BF4CB1">
            <w:pPr>
              <w:spacing w:after="0" w:line="240" w:lineRule="auto"/>
              <w:rPr>
                <w:rFonts w:eastAsia="Times New Roman"/>
                <w:color w:val="000000"/>
                <w:sz w:val="20"/>
                <w:szCs w:val="20"/>
                <w:lang w:eastAsia="es-MX"/>
              </w:rPr>
            </w:pPr>
            <w:r w:rsidRPr="005159D2">
              <w:rPr>
                <w:rFonts w:eastAsia="Times New Roman"/>
                <w:color w:val="000000"/>
                <w:sz w:val="20"/>
                <w:szCs w:val="20"/>
                <w:lang w:eastAsia="es-MX"/>
              </w:rPr>
              <w:t>OTROS EQUIPOS</w:t>
            </w:r>
          </w:p>
        </w:tc>
        <w:tc>
          <w:tcPr>
            <w:tcW w:w="1046" w:type="dxa"/>
            <w:tcBorders>
              <w:top w:val="nil"/>
              <w:left w:val="nil"/>
              <w:bottom w:val="single" w:sz="8" w:space="0" w:color="auto"/>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120</w:t>
            </w:r>
          </w:p>
        </w:tc>
        <w:tc>
          <w:tcPr>
            <w:tcW w:w="1045" w:type="dxa"/>
            <w:tcBorders>
              <w:top w:val="nil"/>
              <w:left w:val="nil"/>
              <w:bottom w:val="single" w:sz="8" w:space="0" w:color="auto"/>
              <w:right w:val="nil"/>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w:t>
            </w:r>
          </w:p>
        </w:tc>
        <w:tc>
          <w:tcPr>
            <w:tcW w:w="895" w:type="dxa"/>
            <w:tcBorders>
              <w:top w:val="nil"/>
              <w:left w:val="nil"/>
              <w:bottom w:val="single" w:sz="8" w:space="0" w:color="auto"/>
              <w:right w:val="single" w:sz="8" w:space="0" w:color="auto"/>
            </w:tcBorders>
            <w:shd w:val="clear" w:color="000000" w:fill="DBEEF3"/>
            <w:noWrap/>
            <w:vAlign w:val="bottom"/>
            <w:hideMark/>
          </w:tcPr>
          <w:p w:rsidR="00A32B37" w:rsidRPr="005159D2" w:rsidRDefault="00A32B37" w:rsidP="00BF4CB1">
            <w:pPr>
              <w:spacing w:after="0" w:line="240" w:lineRule="auto"/>
              <w:jc w:val="right"/>
              <w:rPr>
                <w:rFonts w:eastAsia="Times New Roman"/>
                <w:b/>
                <w:bCs/>
                <w:color w:val="215867"/>
                <w:sz w:val="20"/>
                <w:szCs w:val="20"/>
                <w:lang w:eastAsia="es-MX"/>
              </w:rPr>
            </w:pPr>
            <w:r w:rsidRPr="005159D2">
              <w:rPr>
                <w:rFonts w:eastAsia="Times New Roman"/>
                <w:b/>
                <w:bCs/>
                <w:color w:val="215867"/>
                <w:sz w:val="20"/>
                <w:szCs w:val="20"/>
                <w:lang w:eastAsia="es-MX"/>
              </w:rPr>
              <w:t>10.00%</w:t>
            </w:r>
          </w:p>
        </w:tc>
      </w:tr>
    </w:tbl>
    <w:p w:rsidR="00A32B37" w:rsidRPr="005159D2" w:rsidRDefault="00A32B37" w:rsidP="00A32B37">
      <w:pPr>
        <w:jc w:val="both"/>
        <w:rPr>
          <w:rFonts w:ascii="Arial" w:hAnsi="Arial" w:cs="Arial"/>
          <w:sz w:val="20"/>
          <w:szCs w:val="20"/>
        </w:rPr>
      </w:pPr>
      <w:r w:rsidRPr="005159D2">
        <w:rPr>
          <w:rFonts w:ascii="Arial" w:hAnsi="Arial" w:cs="Arial"/>
          <w:sz w:val="20"/>
          <w:szCs w:val="20"/>
        </w:rPr>
        <w:t>b) Cambios en el porcentaje de depreciación o valor residual de los activos:</w:t>
      </w:r>
    </w:p>
    <w:p w:rsidR="00A32B37" w:rsidRPr="005159D2" w:rsidRDefault="00A32B37" w:rsidP="00A32B37">
      <w:pPr>
        <w:jc w:val="both"/>
        <w:rPr>
          <w:rFonts w:ascii="Arial" w:hAnsi="Arial" w:cs="Arial"/>
          <w:sz w:val="20"/>
          <w:szCs w:val="20"/>
        </w:rPr>
      </w:pPr>
      <w:r w:rsidRPr="005159D2">
        <w:rPr>
          <w:rFonts w:ascii="Arial" w:hAnsi="Arial" w:cs="Arial"/>
          <w:sz w:val="20"/>
          <w:szCs w:val="20"/>
        </w:rPr>
        <w:t xml:space="preserve">De conformidad con la norma de CONAC y los alcances del SIHP, actualmente sólo pueden considerarse las 40 clases de activos vigentes. </w:t>
      </w:r>
    </w:p>
    <w:p w:rsidR="00A32B37" w:rsidRPr="005159D2" w:rsidRDefault="00A32B37" w:rsidP="00A32B37">
      <w:pPr>
        <w:jc w:val="both"/>
        <w:rPr>
          <w:rFonts w:ascii="Arial" w:hAnsi="Arial" w:cs="Arial"/>
          <w:sz w:val="20"/>
          <w:szCs w:val="20"/>
        </w:rPr>
      </w:pPr>
      <w:r w:rsidRPr="005159D2">
        <w:rPr>
          <w:rFonts w:ascii="Arial" w:hAnsi="Arial" w:cs="Arial"/>
          <w:sz w:val="20"/>
          <w:szCs w:val="20"/>
        </w:rPr>
        <w:t>c) Importe de los gastos capitalizados en el ejercicio, tanto financieros como de investigación y desarrollo:</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d) Riegos por tipo de cambio o tipo de interés de las inversiones financieras:</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e) Valor activado en el ejercicio de los bienes construidos por la entidad:</w:t>
      </w:r>
    </w:p>
    <w:p w:rsidR="00A32B37" w:rsidRPr="005159D2" w:rsidRDefault="00A32B37" w:rsidP="00A32B37">
      <w:pPr>
        <w:jc w:val="both"/>
        <w:rPr>
          <w:rFonts w:ascii="Arial" w:hAnsi="Arial" w:cs="Arial"/>
          <w:sz w:val="20"/>
          <w:szCs w:val="20"/>
        </w:rPr>
      </w:pPr>
      <w:r w:rsidRPr="005159D2">
        <w:rPr>
          <w:rFonts w:ascii="Arial" w:hAnsi="Arial" w:cs="Arial"/>
          <w:sz w:val="20"/>
          <w:szCs w:val="20"/>
        </w:rPr>
        <w:lastRenderedPageBreak/>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__________________________________________________________________________________________________________________________g) Desmantelamiento de Activos, procedimientos, implicaciones, efectos contables:</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__________________________________________________________________________________________________________________________h) Administración de activos; planeación con el objetivo de que el ente los utilice de manera más efectiva:</w:t>
      </w:r>
    </w:p>
    <w:tbl>
      <w:tblPr>
        <w:tblW w:w="13587" w:type="dxa"/>
        <w:tblInd w:w="55" w:type="dxa"/>
        <w:tblCellMar>
          <w:left w:w="70" w:type="dxa"/>
          <w:right w:w="70" w:type="dxa"/>
        </w:tblCellMar>
        <w:tblLook w:val="04A0" w:firstRow="1" w:lastRow="0" w:firstColumn="1" w:lastColumn="0" w:noHBand="0" w:noVBand="1"/>
      </w:tblPr>
      <w:tblGrid>
        <w:gridCol w:w="13587"/>
      </w:tblGrid>
      <w:tr w:rsidR="00A32B37" w:rsidRPr="005159D2" w:rsidTr="00BF4CB1">
        <w:trPr>
          <w:trHeight w:val="543"/>
        </w:trPr>
        <w:tc>
          <w:tcPr>
            <w:tcW w:w="13587" w:type="dxa"/>
            <w:tcBorders>
              <w:top w:val="nil"/>
              <w:left w:val="nil"/>
              <w:bottom w:val="nil"/>
              <w:right w:val="nil"/>
            </w:tcBorders>
            <w:shd w:val="clear" w:color="auto" w:fill="auto"/>
            <w:vAlign w:val="center"/>
            <w:hideMark/>
          </w:tcPr>
          <w:p w:rsidR="00A32B37" w:rsidRPr="005159D2" w:rsidRDefault="00A32B37" w:rsidP="00BF4CB1">
            <w:pPr>
              <w:jc w:val="both"/>
              <w:rPr>
                <w:rFonts w:ascii="Arial" w:hAnsi="Arial" w:cs="Arial"/>
                <w:sz w:val="20"/>
                <w:szCs w:val="20"/>
              </w:rPr>
            </w:pPr>
            <w:r w:rsidRPr="005159D2">
              <w:rPr>
                <w:rFonts w:ascii="Arial" w:hAnsi="Arial" w:cs="Arial"/>
                <w:sz w:val="20"/>
                <w:szCs w:val="20"/>
              </w:rPr>
              <w:t xml:space="preserve">Terreno: En Diario Oficial del Gobierno del estado de Guanajuato de fecha 17 </w:t>
            </w:r>
            <w:r>
              <w:rPr>
                <w:rFonts w:ascii="Arial" w:hAnsi="Arial" w:cs="Arial"/>
                <w:sz w:val="20"/>
                <w:szCs w:val="20"/>
              </w:rPr>
              <w:t xml:space="preserve">de abril de 2012, se público el </w:t>
            </w:r>
            <w:r w:rsidRPr="005159D2">
              <w:rPr>
                <w:rFonts w:ascii="Arial" w:hAnsi="Arial" w:cs="Arial"/>
                <w:sz w:val="20"/>
                <w:szCs w:val="20"/>
              </w:rPr>
              <w:t>“Acuerdo Municipal mediante el cual se revoca la similar por medio del cual se desafectó y dono una fracción del terreno municipal al organismo público descentralizado del Gobierno del Estado denominado Universidad Tecnológica del Norte de Guanajuato y se desafectan del dominio público y se donan dos fracciones de terreno a favor del Gobierno del Estado con destino a la Universidad Tecnológica de San Miguel de Allende, Gto.”</w:t>
            </w:r>
          </w:p>
        </w:tc>
      </w:tr>
      <w:tr w:rsidR="00A32B37" w:rsidRPr="005159D2" w:rsidTr="00BF4CB1">
        <w:trPr>
          <w:trHeight w:val="660"/>
        </w:trPr>
        <w:tc>
          <w:tcPr>
            <w:tcW w:w="13587" w:type="dxa"/>
            <w:tcBorders>
              <w:top w:val="nil"/>
              <w:left w:val="nil"/>
              <w:bottom w:val="nil"/>
              <w:right w:val="nil"/>
            </w:tcBorders>
            <w:shd w:val="clear" w:color="auto" w:fill="auto"/>
            <w:vAlign w:val="center"/>
            <w:hideMark/>
          </w:tcPr>
          <w:p w:rsidR="00A32B37" w:rsidRPr="005159D2" w:rsidRDefault="00A32B37" w:rsidP="00BF4CB1">
            <w:pPr>
              <w:spacing w:after="0" w:line="240" w:lineRule="auto"/>
              <w:jc w:val="both"/>
              <w:rPr>
                <w:rFonts w:ascii="Arial" w:hAnsi="Arial" w:cs="Arial"/>
                <w:sz w:val="20"/>
                <w:szCs w:val="20"/>
              </w:rPr>
            </w:pPr>
            <w:r w:rsidRPr="005159D2">
              <w:rPr>
                <w:rFonts w:ascii="Arial" w:hAnsi="Arial" w:cs="Arial"/>
                <w:sz w:val="20"/>
                <w:szCs w:val="20"/>
              </w:rPr>
              <w:t>Bienes Muebles: Se tienen registrados en la contabilidad todos los bienes muebles adquiridos por la Universidad en el ejercicio 2011, 2012 y 2013 aplicando las depreciaciones correspondientes. al proceso de solicitud de alta del activo fijo que la Universidad del Norte de Guanajuato aún no tiene registrado, el cual no se ha realizado debido a diferencias que se tienen con lo registrado en Control Patrimonial.</w:t>
            </w:r>
          </w:p>
          <w:p w:rsidR="00A32B37" w:rsidRPr="005159D2" w:rsidRDefault="00A32B37" w:rsidP="00BF4CB1">
            <w:pPr>
              <w:spacing w:after="0" w:line="240" w:lineRule="auto"/>
              <w:jc w:val="both"/>
              <w:rPr>
                <w:rFonts w:ascii="Arial" w:hAnsi="Arial" w:cs="Arial"/>
                <w:sz w:val="20"/>
                <w:szCs w:val="20"/>
              </w:rPr>
            </w:pPr>
          </w:p>
        </w:tc>
      </w:tr>
    </w:tbl>
    <w:p w:rsidR="00A32B37" w:rsidRPr="005159D2" w:rsidRDefault="00A32B37" w:rsidP="00A32B37">
      <w:pPr>
        <w:jc w:val="both"/>
        <w:rPr>
          <w:rFonts w:ascii="Arial" w:hAnsi="Arial" w:cs="Arial"/>
          <w:sz w:val="20"/>
          <w:szCs w:val="20"/>
        </w:rPr>
      </w:pPr>
      <w:r w:rsidRPr="005159D2">
        <w:rPr>
          <w:rFonts w:ascii="Arial" w:hAnsi="Arial" w:cs="Arial"/>
          <w:sz w:val="20"/>
          <w:szCs w:val="20"/>
        </w:rPr>
        <w:t>Adicionalmente, se deben incluir las explicaciones de las principales variaciones en el activo, en cuadros comparativos como sigue:</w:t>
      </w:r>
    </w:p>
    <w:p w:rsidR="00A32B37" w:rsidRPr="005159D2" w:rsidRDefault="00A32B37" w:rsidP="00A32B37">
      <w:pPr>
        <w:jc w:val="both"/>
        <w:rPr>
          <w:rFonts w:ascii="Arial" w:hAnsi="Arial" w:cs="Arial"/>
          <w:sz w:val="20"/>
          <w:szCs w:val="20"/>
        </w:rPr>
      </w:pPr>
      <w:r w:rsidRPr="005159D2">
        <w:rPr>
          <w:rFonts w:ascii="Arial" w:hAnsi="Arial" w:cs="Arial"/>
          <w:sz w:val="20"/>
          <w:szCs w:val="20"/>
        </w:rPr>
        <w:t>a) Inversiones en valores:</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Default="00A32B37" w:rsidP="00A32B37">
      <w:pPr>
        <w:jc w:val="both"/>
        <w:rPr>
          <w:rFonts w:ascii="Arial" w:hAnsi="Arial" w:cs="Arial"/>
          <w:sz w:val="20"/>
          <w:szCs w:val="20"/>
        </w:rPr>
      </w:pPr>
      <w:r w:rsidRPr="005159D2">
        <w:rPr>
          <w:rFonts w:ascii="Arial" w:hAnsi="Arial" w:cs="Arial"/>
          <w:sz w:val="20"/>
          <w:szCs w:val="20"/>
        </w:rPr>
        <w:t>b) Patrimonio de Organismos descentralizados de Control Presupuestario Indirecto:</w:t>
      </w:r>
    </w:p>
    <w:p w:rsidR="00A32B37" w:rsidRPr="005159D2" w:rsidRDefault="00A32B37" w:rsidP="00A32B37">
      <w:pPr>
        <w:jc w:val="both"/>
        <w:rPr>
          <w:rFonts w:ascii="Arial" w:hAnsi="Arial" w:cs="Arial"/>
          <w:sz w:val="20"/>
          <w:szCs w:val="20"/>
        </w:rPr>
      </w:pPr>
      <w:r>
        <w:rPr>
          <w:rFonts w:ascii="Arial" w:hAnsi="Arial" w:cs="Arial"/>
          <w:sz w:val="20"/>
          <w:szCs w:val="20"/>
        </w:rPr>
        <w:t>___________________</w:t>
      </w:r>
      <w:r w:rsidRPr="005159D2">
        <w:rPr>
          <w:rFonts w:ascii="Arial" w:hAnsi="Arial" w:cs="Arial"/>
          <w:sz w:val="20"/>
          <w:szCs w:val="20"/>
        </w:rPr>
        <w:t>______________________________________________________________________________________________________</w:t>
      </w:r>
    </w:p>
    <w:p w:rsidR="00A32B37" w:rsidRPr="005159D2" w:rsidRDefault="00A32B37" w:rsidP="00A32B37">
      <w:pPr>
        <w:pBdr>
          <w:bottom w:val="single" w:sz="12" w:space="1" w:color="auto"/>
        </w:pBdr>
        <w:jc w:val="both"/>
        <w:rPr>
          <w:rFonts w:ascii="Arial" w:hAnsi="Arial" w:cs="Arial"/>
          <w:sz w:val="20"/>
          <w:szCs w:val="20"/>
        </w:rPr>
      </w:pPr>
      <w:r w:rsidRPr="005159D2">
        <w:rPr>
          <w:rFonts w:ascii="Arial" w:hAnsi="Arial" w:cs="Arial"/>
          <w:sz w:val="20"/>
          <w:szCs w:val="20"/>
        </w:rPr>
        <w:t>c) Inversiones en empresas de participación mayoritaria:</w:t>
      </w:r>
    </w:p>
    <w:p w:rsidR="00A32B37" w:rsidRPr="005159D2" w:rsidRDefault="00A32B37" w:rsidP="00A32B37">
      <w:pPr>
        <w:jc w:val="both"/>
        <w:rPr>
          <w:rFonts w:ascii="Arial" w:hAnsi="Arial" w:cs="Arial"/>
          <w:sz w:val="20"/>
          <w:szCs w:val="20"/>
        </w:rPr>
      </w:pPr>
      <w:r w:rsidRPr="005159D2">
        <w:rPr>
          <w:rFonts w:ascii="Arial" w:hAnsi="Arial" w:cs="Arial"/>
          <w:sz w:val="20"/>
          <w:szCs w:val="20"/>
        </w:rPr>
        <w:t>d) Inversiones en empresas de participación minoritaria: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Default="00A32B37" w:rsidP="00A32B37">
      <w:pPr>
        <w:jc w:val="both"/>
        <w:rPr>
          <w:rFonts w:ascii="Arial" w:hAnsi="Arial" w:cs="Arial"/>
          <w:sz w:val="20"/>
          <w:szCs w:val="20"/>
        </w:rPr>
      </w:pPr>
      <w:r w:rsidRPr="005159D2">
        <w:rPr>
          <w:rFonts w:ascii="Arial" w:hAnsi="Arial" w:cs="Arial"/>
          <w:sz w:val="20"/>
          <w:szCs w:val="20"/>
        </w:rPr>
        <w:t>e) Patrimonio de organismos descentralizados de control presupuestario directo, según corresponda: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9. Fideicomisos, Mandatos y Análogos:</w:t>
      </w:r>
    </w:p>
    <w:p w:rsidR="00A32B37" w:rsidRDefault="00A32B37" w:rsidP="00A32B37">
      <w:pPr>
        <w:jc w:val="both"/>
        <w:rPr>
          <w:rFonts w:ascii="Arial" w:hAnsi="Arial" w:cs="Arial"/>
          <w:sz w:val="20"/>
          <w:szCs w:val="20"/>
        </w:rPr>
      </w:pPr>
      <w:r>
        <w:rPr>
          <w:rFonts w:ascii="Arial" w:hAnsi="Arial" w:cs="Arial"/>
          <w:noProof/>
          <w:sz w:val="20"/>
          <w:szCs w:val="20"/>
          <w:lang w:eastAsia="es-MX"/>
        </w:rPr>
        <w:lastRenderedPageBreak/>
        <mc:AlternateContent>
          <mc:Choice Requires="wps">
            <w:drawing>
              <wp:anchor distT="0" distB="0" distL="114300" distR="114300" simplePos="0" relativeHeight="251663360" behindDoc="0" locked="0" layoutInCell="1" allowOverlap="1">
                <wp:simplePos x="0" y="0"/>
                <wp:positionH relativeFrom="column">
                  <wp:posOffset>1099820</wp:posOffset>
                </wp:positionH>
                <wp:positionV relativeFrom="paragraph">
                  <wp:posOffset>186055</wp:posOffset>
                </wp:positionV>
                <wp:extent cx="1755140" cy="246380"/>
                <wp:effectExtent l="0" t="0" r="0" b="0"/>
                <wp:wrapNone/>
                <wp:docPr id="3" name="Rectángulo 3">
                  <a:extLst xmlns:a="http://schemas.openxmlformats.org/drawingml/2006/main">
                    <a:ext uri="{FF2B5EF4-FFF2-40B4-BE49-F238E27FC236}">
                      <a16:creationId xmlns:a16="http://schemas.microsoft.com/office/drawing/2014/main" id="{00000000-0008-0000-16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46380"/>
                        </a:xfrm>
                        <a:prstGeom prst="rect">
                          <a:avLst/>
                        </a:prstGeom>
                        <a:noFill/>
                      </wps:spPr>
                      <wps:txbx>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id="Rectángulo 3" o:spid="_x0000_s1030" style="position:absolute;left:0;text-align:left;margin-left:86.6pt;margin-top:14.65pt;width:138.2pt;height:19.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" filled="f" stroked="f">
                <v:path arrowok="t"/>
                <v:textbox style="mso-fit-shape-to-text:t">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v:textbox>
              </v:rect>
            </w:pict>
          </mc:Fallback>
        </mc:AlternateContent>
      </w:r>
      <w:r w:rsidRPr="005159D2">
        <w:rPr>
          <w:rFonts w:ascii="Arial" w:hAnsi="Arial" w:cs="Arial"/>
          <w:sz w:val="20"/>
          <w:szCs w:val="20"/>
        </w:rPr>
        <w:t>a) Por ramo administrativo que los reporta:</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sz w:val="20"/>
          <w:szCs w:val="20"/>
        </w:rPr>
      </w:pPr>
      <w:r w:rsidRPr="005159D2">
        <w:rPr>
          <w:rFonts w:ascii="Arial" w:hAnsi="Arial" w:cs="Arial"/>
          <w:sz w:val="20"/>
          <w:szCs w:val="20"/>
        </w:rPr>
        <w:t>b) Enlistar los de mayor monto de disponibilidad, relacionando aquéllos que conforman el 80% de las disponibilidades:</w:t>
      </w:r>
    </w:p>
    <w:p w:rsidR="00A32B37" w:rsidRPr="005159D2" w:rsidRDefault="00A32B37" w:rsidP="00A32B37">
      <w:pPr>
        <w:jc w:val="both"/>
        <w:rPr>
          <w:rFonts w:ascii="Arial" w:hAnsi="Arial" w:cs="Arial"/>
          <w:b/>
          <w:sz w:val="20"/>
          <w:szCs w:val="20"/>
        </w:rPr>
      </w:pPr>
      <w:r w:rsidRPr="005159D2">
        <w:rPr>
          <w:rFonts w:ascii="Arial" w:hAnsi="Arial" w:cs="Arial"/>
          <w:sz w:val="20"/>
          <w:szCs w:val="20"/>
        </w:rPr>
        <w:t>__________________________________________________________________________________________________________________________</w:t>
      </w:r>
      <w:r w:rsidRPr="005159D2">
        <w:rPr>
          <w:rFonts w:ascii="Arial" w:hAnsi="Arial" w:cs="Arial"/>
          <w:b/>
          <w:sz w:val="20"/>
          <w:szCs w:val="20"/>
        </w:rPr>
        <w:t>10. Reporte de la Recaudación:</w:t>
      </w:r>
    </w:p>
    <w:p w:rsidR="00A32B37" w:rsidRPr="005159D2" w:rsidRDefault="00A32B37" w:rsidP="00A32B37">
      <w:pPr>
        <w:jc w:val="both"/>
        <w:rPr>
          <w:rFonts w:ascii="Arial" w:hAnsi="Arial" w:cs="Arial"/>
          <w:sz w:val="20"/>
          <w:szCs w:val="20"/>
        </w:rPr>
      </w:pPr>
      <w:r w:rsidRPr="005159D2">
        <w:rPr>
          <w:rFonts w:ascii="Arial" w:hAnsi="Arial" w:cs="Arial"/>
          <w:sz w:val="20"/>
          <w:szCs w:val="20"/>
        </w:rPr>
        <w:t>a) Análisis del comportamiento de la recaudación correspondiente al ente público o cualquier tipo de ingreso, de forma separada los ingresos locales de los federales:</w:t>
      </w:r>
    </w:p>
    <w:p w:rsidR="00A32B37" w:rsidRPr="005159D2" w:rsidRDefault="00A32B37" w:rsidP="00A32B37">
      <w:pPr>
        <w:jc w:val="both"/>
        <w:rPr>
          <w:rFonts w:ascii="Arial" w:hAnsi="Arial" w:cs="Arial"/>
          <w:sz w:val="20"/>
          <w:szCs w:val="20"/>
        </w:rPr>
      </w:pPr>
      <w:r w:rsidRPr="005159D2">
        <w:rPr>
          <w:rFonts w:ascii="Arial" w:hAnsi="Arial" w:cs="Arial"/>
          <w:sz w:val="20"/>
          <w:szCs w:val="20"/>
        </w:rPr>
        <w:t>Se tiene un ingreso mensual por subsidios del gobierno federal, del gobierno estatal y lo recaudado por ingresos propios</w:t>
      </w:r>
    </w:p>
    <w:p w:rsidR="00A32B37" w:rsidRDefault="00A32B37" w:rsidP="00A32B37">
      <w:pPr>
        <w:jc w:val="both"/>
        <w:rPr>
          <w:rFonts w:ascii="Arial" w:hAnsi="Arial" w:cs="Arial"/>
          <w:sz w:val="20"/>
          <w:szCs w:val="20"/>
        </w:rPr>
      </w:pPr>
      <w:r w:rsidRPr="005159D2">
        <w:rPr>
          <w:rFonts w:ascii="Arial" w:hAnsi="Arial" w:cs="Arial"/>
          <w:sz w:val="20"/>
          <w:szCs w:val="20"/>
        </w:rPr>
        <w:t>b) Proyección de la recaudación e ingresos en el mediano plazo:</w:t>
      </w:r>
    </w:p>
    <w:p w:rsidR="00A32B37" w:rsidRPr="005159D2" w:rsidRDefault="00A32B37" w:rsidP="00A32B37">
      <w:pPr>
        <w:jc w:val="both"/>
        <w:rPr>
          <w:rFonts w:ascii="Arial" w:hAnsi="Arial" w:cs="Arial"/>
          <w:sz w:val="20"/>
          <w:szCs w:val="20"/>
        </w:rPr>
      </w:pPr>
      <w:r>
        <w:rPr>
          <w:rFonts w:ascii="Arial" w:hAnsi="Arial" w:cs="Arial"/>
          <w:sz w:val="20"/>
          <w:szCs w:val="20"/>
        </w:rPr>
        <w:t>c) Al 3</w:t>
      </w:r>
      <w:r w:rsidR="002670FC">
        <w:rPr>
          <w:rFonts w:ascii="Arial" w:hAnsi="Arial" w:cs="Arial"/>
          <w:sz w:val="20"/>
          <w:szCs w:val="20"/>
        </w:rPr>
        <w:t>0</w:t>
      </w:r>
      <w:r>
        <w:rPr>
          <w:rFonts w:ascii="Arial" w:hAnsi="Arial" w:cs="Arial"/>
          <w:sz w:val="20"/>
          <w:szCs w:val="20"/>
        </w:rPr>
        <w:t xml:space="preserve"> de </w:t>
      </w:r>
      <w:r w:rsidR="001319EB">
        <w:rPr>
          <w:rFonts w:ascii="Arial" w:hAnsi="Arial" w:cs="Arial"/>
          <w:sz w:val="20"/>
          <w:szCs w:val="20"/>
        </w:rPr>
        <w:t>septiembre</w:t>
      </w:r>
      <w:r>
        <w:rPr>
          <w:rFonts w:ascii="Arial" w:hAnsi="Arial" w:cs="Arial"/>
          <w:sz w:val="20"/>
          <w:szCs w:val="20"/>
        </w:rPr>
        <w:t xml:space="preserve"> de 202</w:t>
      </w:r>
      <w:r w:rsidR="002670FC">
        <w:rPr>
          <w:rFonts w:ascii="Arial" w:hAnsi="Arial" w:cs="Arial"/>
          <w:sz w:val="20"/>
          <w:szCs w:val="20"/>
        </w:rPr>
        <w:t>4</w:t>
      </w:r>
      <w:r>
        <w:rPr>
          <w:rFonts w:ascii="Arial" w:hAnsi="Arial" w:cs="Arial"/>
          <w:sz w:val="20"/>
          <w:szCs w:val="20"/>
        </w:rPr>
        <w:t xml:space="preserve"> se tiene una captación de ingresos excedentes de $</w:t>
      </w:r>
      <w:r w:rsidR="002670FC" w:rsidRPr="001319EB">
        <w:rPr>
          <w:rFonts w:ascii="Arial" w:hAnsi="Arial" w:cs="Arial"/>
          <w:sz w:val="20"/>
          <w:szCs w:val="20"/>
        </w:rPr>
        <w:t xml:space="preserve"> </w:t>
      </w:r>
      <w:r w:rsidR="001319EB" w:rsidRPr="001319EB">
        <w:rPr>
          <w:rFonts w:ascii="Arial" w:hAnsi="Arial" w:cs="Arial"/>
          <w:sz w:val="20"/>
          <w:szCs w:val="20"/>
        </w:rPr>
        <w:t>894,297.83</w:t>
      </w:r>
      <w:r>
        <w:rPr>
          <w:rFonts w:ascii="Arial" w:hAnsi="Arial" w:cs="Arial"/>
          <w:sz w:val="20"/>
          <w:szCs w:val="20"/>
        </w:rPr>
        <w:t xml:space="preserve"> derivados de varias partidas.</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11. Información sobre la Deuda y el Reporte Analítico de la Deuda:</w:t>
      </w:r>
    </w:p>
    <w:p w:rsidR="00A32B37" w:rsidRPr="005159D2" w:rsidRDefault="00A32B37" w:rsidP="00A32B37">
      <w:pPr>
        <w:jc w:val="both"/>
        <w:rPr>
          <w:rFonts w:ascii="Arial" w:hAnsi="Arial" w:cs="Arial"/>
          <w:sz w:val="20"/>
          <w:szCs w:val="20"/>
        </w:rPr>
      </w:pPr>
      <w:r w:rsidRPr="005159D2">
        <w:rPr>
          <w:rFonts w:ascii="Arial" w:hAnsi="Arial" w:cs="Arial"/>
          <w:sz w:val="20"/>
          <w:szCs w:val="20"/>
        </w:rPr>
        <w:t>a) Utilizar al menos los siguientes indicadores: deuda respecto al PIB y deuda respecto a la recaudación tomando, como mínimo, un período igual o menor a 5 años.</w:t>
      </w:r>
    </w:p>
    <w:p w:rsidR="00A32B37" w:rsidRPr="005159D2" w:rsidRDefault="00A32B37" w:rsidP="00A32B37">
      <w:pPr>
        <w:jc w:val="both"/>
        <w:rPr>
          <w:rFonts w:ascii="Arial" w:hAnsi="Arial" w:cs="Arial"/>
          <w:sz w:val="20"/>
          <w:szCs w:val="20"/>
        </w:rPr>
      </w:pPr>
      <w:r w:rsidRPr="005159D2">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A32B37" w:rsidRPr="005159D2" w:rsidRDefault="00A32B37" w:rsidP="00A32B37">
      <w:pPr>
        <w:jc w:val="both"/>
        <w:rPr>
          <w:rFonts w:ascii="Arial" w:hAnsi="Arial" w:cs="Arial"/>
          <w:sz w:val="20"/>
          <w:szCs w:val="20"/>
        </w:rPr>
      </w:pPr>
      <w:r w:rsidRPr="005159D2">
        <w:rPr>
          <w:rFonts w:ascii="Arial" w:hAnsi="Arial" w:cs="Arial"/>
          <w:sz w:val="20"/>
          <w:szCs w:val="20"/>
        </w:rPr>
        <w:t>* Se anexará la información en las notas de desglose.</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12. Calificaciones otorgadas:</w:t>
      </w:r>
    </w:p>
    <w:p w:rsidR="00A32B37" w:rsidRPr="005159D2" w:rsidRDefault="00A32B37" w:rsidP="00A32B37">
      <w:pPr>
        <w:jc w:val="both"/>
        <w:rPr>
          <w:rFonts w:ascii="Arial" w:hAnsi="Arial" w:cs="Arial"/>
          <w:sz w:val="20"/>
          <w:szCs w:val="20"/>
        </w:rPr>
      </w:pPr>
      <w:r w:rsidRPr="005159D2">
        <w:rPr>
          <w:rFonts w:ascii="Arial" w:hAnsi="Arial" w:cs="Arial"/>
          <w:sz w:val="20"/>
          <w:szCs w:val="20"/>
        </w:rPr>
        <w:t>Informar, tanto del ente público como cualquier transacción realizada, que haya sido sujeta a una calificación crediticia:</w:t>
      </w:r>
    </w:p>
    <w:p w:rsidR="00A32B37" w:rsidRPr="005159D2" w:rsidRDefault="00A32B37" w:rsidP="00A32B37">
      <w:pPr>
        <w:jc w:val="both"/>
        <w:rPr>
          <w:rFonts w:ascii="Arial" w:hAnsi="Arial" w:cs="Arial"/>
          <w:sz w:val="20"/>
          <w:szCs w:val="20"/>
        </w:rPr>
      </w:pPr>
      <w:r w:rsidRPr="005159D2">
        <w:rPr>
          <w:rFonts w:ascii="Arial" w:hAnsi="Arial" w:cs="Arial"/>
          <w:b/>
          <w:sz w:val="20"/>
          <w:szCs w:val="20"/>
        </w:rPr>
        <w:t>13. Proceso de Mejora:</w:t>
      </w:r>
    </w:p>
    <w:p w:rsidR="00A32B37" w:rsidRPr="005159D2" w:rsidRDefault="00A32B37" w:rsidP="00A32B37">
      <w:pPr>
        <w:jc w:val="both"/>
        <w:rPr>
          <w:rFonts w:ascii="Arial" w:hAnsi="Arial" w:cs="Arial"/>
          <w:sz w:val="20"/>
          <w:szCs w:val="20"/>
        </w:rPr>
      </w:pPr>
      <w:r w:rsidRPr="005159D2">
        <w:rPr>
          <w:rFonts w:ascii="Arial" w:hAnsi="Arial" w:cs="Arial"/>
          <w:sz w:val="20"/>
          <w:szCs w:val="20"/>
        </w:rPr>
        <w:t>Se informará de:</w:t>
      </w:r>
    </w:p>
    <w:p w:rsidR="00A32B37" w:rsidRPr="005159D2" w:rsidRDefault="00A32B37" w:rsidP="00A32B37">
      <w:pPr>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simplePos x="0" y="0"/>
                <wp:positionH relativeFrom="column">
                  <wp:posOffset>1776730</wp:posOffset>
                </wp:positionH>
                <wp:positionV relativeFrom="paragraph">
                  <wp:posOffset>146050</wp:posOffset>
                </wp:positionV>
                <wp:extent cx="1755140" cy="246380"/>
                <wp:effectExtent l="0" t="0" r="0" b="0"/>
                <wp:wrapNone/>
                <wp:docPr id="2" name="Rectángulo 2">
                  <a:extLst xmlns:a="http://schemas.openxmlformats.org/drawingml/2006/main">
                    <a:ext uri="{FF2B5EF4-FFF2-40B4-BE49-F238E27FC236}">
                      <a16:creationId xmlns:a16="http://schemas.microsoft.com/office/drawing/2014/main" id="{00000000-0008-0000-16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46380"/>
                        </a:xfrm>
                        <a:prstGeom prst="rect">
                          <a:avLst/>
                        </a:prstGeom>
                        <a:noFill/>
                      </wps:spPr>
                      <wps:txbx>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id="Rectángulo 2" o:spid="_x0000_s1031" style="position:absolute;left:0;text-align:left;margin-left:139.9pt;margin-top:11.5pt;width:138.2pt;height:19.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" filled="f" stroked="f">
                <v:path arrowok="t"/>
                <v:textbox style="mso-fit-shape-to-text:t">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v:textbox>
              </v:rect>
            </w:pict>
          </mc:Fallback>
        </mc:AlternateContent>
      </w:r>
      <w:r w:rsidRPr="005159D2">
        <w:rPr>
          <w:rFonts w:ascii="Arial" w:hAnsi="Arial" w:cs="Arial"/>
          <w:sz w:val="20"/>
          <w:szCs w:val="20"/>
        </w:rPr>
        <w:t>a) Principales Políticas de control interno:</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Default="00A32B37" w:rsidP="00A32B37">
      <w:pPr>
        <w:jc w:val="both"/>
        <w:rPr>
          <w:rFonts w:ascii="Arial" w:hAnsi="Arial" w:cs="Arial"/>
          <w:sz w:val="20"/>
          <w:szCs w:val="20"/>
        </w:rPr>
      </w:pPr>
      <w:r w:rsidRPr="005159D2">
        <w:rPr>
          <w:rFonts w:ascii="Arial" w:hAnsi="Arial" w:cs="Arial"/>
          <w:sz w:val="20"/>
          <w:szCs w:val="20"/>
        </w:rPr>
        <w:t>b) Medidas de desempe</w:t>
      </w:r>
      <w:r>
        <w:rPr>
          <w:rFonts w:ascii="Arial" w:hAnsi="Arial" w:cs="Arial"/>
          <w:sz w:val="20"/>
          <w:szCs w:val="20"/>
        </w:rPr>
        <w:t>ño financiero, metas y alcance:</w:t>
      </w:r>
    </w:p>
    <w:p w:rsidR="00A32B37" w:rsidRPr="005159D2" w:rsidRDefault="00A32B37" w:rsidP="00A32B37">
      <w:pPr>
        <w:jc w:val="both"/>
        <w:rPr>
          <w:rFonts w:ascii="Arial" w:hAnsi="Arial" w:cs="Arial"/>
          <w:sz w:val="20"/>
          <w:szCs w:val="20"/>
        </w:rPr>
      </w:pPr>
      <w:r w:rsidRPr="005159D2">
        <w:rPr>
          <w:rFonts w:ascii="Arial" w:hAnsi="Arial" w:cs="Arial"/>
          <w:sz w:val="20"/>
          <w:szCs w:val="20"/>
        </w:rPr>
        <w:lastRenderedPageBreak/>
        <w:t>__________________________________________________________________________________________________________________________</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14. Información por Segmentos:</w:t>
      </w:r>
    </w:p>
    <w:p w:rsidR="00A32B37" w:rsidRPr="005159D2" w:rsidRDefault="00A32B37" w:rsidP="00A32B37">
      <w:pPr>
        <w:jc w:val="both"/>
        <w:rPr>
          <w:rFonts w:ascii="Arial" w:hAnsi="Arial" w:cs="Arial"/>
          <w:sz w:val="20"/>
          <w:szCs w:val="20"/>
        </w:rPr>
      </w:pPr>
      <w:r w:rsidRPr="005159D2">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A32B37" w:rsidRPr="005159D2" w:rsidRDefault="00A32B37" w:rsidP="00A32B37">
      <w:pPr>
        <w:jc w:val="both"/>
        <w:rPr>
          <w:rFonts w:ascii="Arial" w:hAnsi="Arial" w:cs="Arial"/>
          <w:sz w:val="20"/>
          <w:szCs w:val="20"/>
        </w:rPr>
      </w:pPr>
      <w:r w:rsidRPr="005159D2">
        <w:rPr>
          <w:rFonts w:ascii="Arial" w:hAnsi="Arial" w:cs="Arial"/>
          <w:sz w:val="20"/>
          <w:szCs w:val="20"/>
        </w:rPr>
        <w:t>Consecuentemente, esta información contribuye al análisis más preciso de la situación financiera, grados y fuentes de riesgo y crecimiento potencial de negocio.</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15. Eventos Posteriores al Cierre:</w:t>
      </w:r>
    </w:p>
    <w:p w:rsidR="00A32B37" w:rsidRPr="005159D2" w:rsidRDefault="00A32B37" w:rsidP="00A32B37">
      <w:pPr>
        <w:jc w:val="both"/>
        <w:rPr>
          <w:rFonts w:ascii="Arial" w:hAnsi="Arial" w:cs="Arial"/>
          <w:sz w:val="20"/>
          <w:szCs w:val="20"/>
        </w:rPr>
      </w:pPr>
      <w:r w:rsidRPr="005159D2">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16. Partes Relacionadas:</w:t>
      </w:r>
    </w:p>
    <w:p w:rsidR="00A32B37" w:rsidRDefault="00A32B37" w:rsidP="00A32B37">
      <w:pPr>
        <w:jc w:val="both"/>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simplePos x="0" y="0"/>
                <wp:positionH relativeFrom="column">
                  <wp:posOffset>676275</wp:posOffset>
                </wp:positionH>
                <wp:positionV relativeFrom="paragraph">
                  <wp:posOffset>245110</wp:posOffset>
                </wp:positionV>
                <wp:extent cx="1755140" cy="246380"/>
                <wp:effectExtent l="0" t="0" r="0" b="0"/>
                <wp:wrapNone/>
                <wp:docPr id="5" name="Rectángulo 5">
                  <a:extLst xmlns:a="http://schemas.openxmlformats.org/drawingml/2006/main">
                    <a:ext uri="{FF2B5EF4-FFF2-40B4-BE49-F238E27FC236}">
                      <a16:creationId xmlns:a16="http://schemas.microsoft.com/office/drawing/2014/main" id="{00000000-0008-0000-16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46380"/>
                        </a:xfrm>
                        <a:prstGeom prst="rect">
                          <a:avLst/>
                        </a:prstGeom>
                        <a:noFill/>
                      </wps:spPr>
                      <wps:txbx>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id="Rectángulo 5" o:spid="_x0000_s1032" style="position:absolute;left:0;text-align:left;margin-left:53.25pt;margin-top:19.3pt;width:138.2pt;height:19.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" filled="f" stroked="f">
                <v:path arrowok="t"/>
                <v:textbox style="mso-fit-shape-to-text:t">
                  <w:txbxContent>
                    <w:p w:rsidR="00A32B37" w:rsidRDefault="00A32B37" w:rsidP="00A32B37">
                      <w:pPr>
                        <w:pStyle w:val="NormalWeb"/>
                        <w:spacing w:before="0" w:beforeAutospacing="0" w:after="0" w:afterAutospacing="0"/>
                        <w:jc w:val="center"/>
                      </w:pPr>
                      <w:r w:rsidRPr="00A32B37">
                        <w:rPr>
                          <w:rFonts w:ascii="Calibri" w:hAnsi="Calibri"/>
                          <w:b/>
                          <w:bCs/>
                          <w:color w:val="000000"/>
                          <w:sz w:val="20"/>
                          <w:szCs w:val="20"/>
                          <w:lang w:val="es-ES"/>
                          <w14:shadow w14:blurRad="50800" w14:dist="38100" w14:dir="2700000" w14:sx="100000" w14:sy="100000" w14:kx="0" w14:ky="0" w14:algn="tl">
                            <w14:srgbClr w14:val="000000">
                              <w14:alpha w14:val="60000"/>
                            </w14:srgbClr>
                          </w14:shadow>
                        </w:rPr>
                        <w:t>"Sin Información que revelar"</w:t>
                      </w:r>
                    </w:p>
                  </w:txbxContent>
                </v:textbox>
              </v:rect>
            </w:pict>
          </mc:Fallback>
        </mc:AlternateContent>
      </w:r>
      <w:r w:rsidRPr="005159D2">
        <w:rPr>
          <w:rFonts w:ascii="Arial" w:hAnsi="Arial" w:cs="Arial"/>
          <w:sz w:val="20"/>
          <w:szCs w:val="20"/>
        </w:rPr>
        <w:t>Se debe establecer por escrito que no existen partes relacionadas que pudieran ejercer influencia significativa sobre la toma de decisiones financieras y operativas:</w:t>
      </w:r>
    </w:p>
    <w:p w:rsidR="00A32B37" w:rsidRPr="005159D2" w:rsidRDefault="00A32B37" w:rsidP="00A32B37">
      <w:pPr>
        <w:jc w:val="both"/>
        <w:rPr>
          <w:rFonts w:ascii="Arial" w:hAnsi="Arial" w:cs="Arial"/>
          <w:sz w:val="20"/>
          <w:szCs w:val="20"/>
        </w:rPr>
      </w:pPr>
      <w:r w:rsidRPr="005159D2">
        <w:rPr>
          <w:rFonts w:ascii="Arial" w:hAnsi="Arial" w:cs="Arial"/>
          <w:sz w:val="20"/>
          <w:szCs w:val="20"/>
        </w:rPr>
        <w:t>__________________________________________________________________________________________________________________________</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17. Responsabilidad sobre la presentación razonable de los Estados Financieros:</w:t>
      </w:r>
    </w:p>
    <w:p w:rsidR="00A32B37" w:rsidRPr="005159D2" w:rsidRDefault="00A32B37" w:rsidP="00A32B37">
      <w:pPr>
        <w:jc w:val="both"/>
        <w:rPr>
          <w:rFonts w:ascii="Arial" w:hAnsi="Arial" w:cs="Arial"/>
          <w:sz w:val="20"/>
          <w:szCs w:val="20"/>
        </w:rPr>
      </w:pPr>
      <w:r w:rsidRPr="005159D2">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A32B37" w:rsidRPr="005159D2" w:rsidRDefault="00A32B37" w:rsidP="00A32B37">
      <w:pPr>
        <w:jc w:val="both"/>
        <w:rPr>
          <w:rFonts w:ascii="Arial" w:hAnsi="Arial" w:cs="Arial"/>
          <w:b/>
          <w:sz w:val="20"/>
          <w:szCs w:val="20"/>
        </w:rPr>
      </w:pPr>
      <w:r w:rsidRPr="005159D2">
        <w:rPr>
          <w:rFonts w:ascii="Arial" w:hAnsi="Arial" w:cs="Arial"/>
          <w:b/>
          <w:sz w:val="20"/>
          <w:szCs w:val="20"/>
        </w:rPr>
        <w:t>Recomendaciones</w:t>
      </w:r>
      <w:r>
        <w:rPr>
          <w:rFonts w:ascii="Arial" w:hAnsi="Arial" w:cs="Arial"/>
          <w:b/>
          <w:sz w:val="20"/>
          <w:szCs w:val="20"/>
        </w:rPr>
        <w:t>:</w:t>
      </w:r>
    </w:p>
    <w:p w:rsidR="00A32B37" w:rsidRPr="005159D2" w:rsidRDefault="00A32B37" w:rsidP="00A32B37">
      <w:pPr>
        <w:jc w:val="both"/>
        <w:rPr>
          <w:rFonts w:ascii="Arial" w:hAnsi="Arial" w:cs="Arial"/>
          <w:b/>
          <w:sz w:val="20"/>
          <w:szCs w:val="20"/>
        </w:rPr>
      </w:pPr>
      <w:r w:rsidRPr="005159D2">
        <w:rPr>
          <w:rFonts w:ascii="Arial" w:eastAsia="Times New Roman" w:hAnsi="Arial" w:cs="Arial"/>
          <w:color w:val="000000"/>
          <w:sz w:val="20"/>
          <w:szCs w:val="20"/>
          <w:lang w:eastAsia="es-MX"/>
        </w:rPr>
        <w:t>Bajo protesta de decir verdad declaramos que los Estados Financieros y sus Notas son razonablemente correctos y responsabilidad del emisor</w:t>
      </w:r>
    </w:p>
    <w:p w:rsidR="003F6CF3" w:rsidRDefault="005C2DAB">
      <w:r w:rsidRPr="005C2DAB">
        <w:rPr>
          <w:noProof/>
          <w:lang w:eastAsia="es-MX"/>
        </w:rPr>
        <mc:AlternateContent>
          <mc:Choice Requires="wps">
            <w:drawing>
              <wp:anchor distT="0" distB="0" distL="114300" distR="114300" simplePos="0" relativeHeight="251667456" behindDoc="0" locked="0" layoutInCell="1" allowOverlap="1" wp14:anchorId="1FB4616F" wp14:editId="660AA322">
                <wp:simplePos x="0" y="0"/>
                <wp:positionH relativeFrom="column">
                  <wp:posOffset>651510</wp:posOffset>
                </wp:positionH>
                <wp:positionV relativeFrom="paragraph">
                  <wp:posOffset>535093</wp:posOffset>
                </wp:positionV>
                <wp:extent cx="3416300" cy="719667"/>
                <wp:effectExtent l="0" t="0" r="0" b="0"/>
                <wp:wrapNone/>
                <wp:docPr id="9" name="2 Rectángulo">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microsoft.com/office/word/2010/wordprocessingShape">
                    <wps:wsp>
                      <wps:cNvSpPr/>
                      <wps:spPr>
                        <a:xfrm>
                          <a:off x="0" y="0"/>
                          <a:ext cx="3416300" cy="719667"/>
                        </a:xfrm>
                        <a:prstGeom prst="rect">
                          <a:avLst/>
                        </a:prstGeom>
                        <a:noFill/>
                      </wps:spPr>
                      <wps:txbx>
                        <w:txbxContent>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___________________________________________</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ENCARGADO DE RECTORIA</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DANIEL JIMENEZ RODRIGUEZ</w:t>
                            </w:r>
                          </w:p>
                        </w:txbxContent>
                      </wps:txbx>
                      <wps:bodyPr wrap="square" lIns="91440" tIns="45720" rIns="91440" bIns="45720">
                        <a:noAutofit/>
                      </wps:bodyPr>
                    </wps:wsp>
                  </a:graphicData>
                </a:graphic>
                <wp14:sizeRelV relativeFrom="margin">
                  <wp14:pctHeight>0</wp14:pctHeight>
                </wp14:sizeRelV>
              </wp:anchor>
            </w:drawing>
          </mc:Choice>
          <mc:Fallback>
            <w:pict>
              <v:rect w14:anchorId="1FB4616F" id="2 Rectángulo" o:spid="_x0000_s1033" style="position:absolute;margin-left:51.3pt;margin-top:42.15pt;width:269pt;height:56.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" filled="f" stroked="f">
                <v:textbox>
                  <w:txbxContent>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___________________________________________</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ENCARGADO DE RECTORIA</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DANIEL JIMENEZ RODRIGUEZ</w:t>
                      </w:r>
                    </w:p>
                  </w:txbxContent>
                </v:textbox>
              </v:rect>
            </w:pict>
          </mc:Fallback>
        </mc:AlternateContent>
      </w:r>
      <w:r w:rsidRPr="005C2DAB">
        <w:rPr>
          <w:noProof/>
          <w:lang w:eastAsia="es-MX"/>
        </w:rPr>
        <mc:AlternateContent>
          <mc:Choice Requires="wps">
            <w:drawing>
              <wp:anchor distT="0" distB="0" distL="114300" distR="114300" simplePos="0" relativeHeight="251668480" behindDoc="0" locked="0" layoutInCell="1" allowOverlap="1" wp14:anchorId="0838BFD4" wp14:editId="0423DA85">
                <wp:simplePos x="0" y="0"/>
                <wp:positionH relativeFrom="column">
                  <wp:posOffset>4639310</wp:posOffset>
                </wp:positionH>
                <wp:positionV relativeFrom="paragraph">
                  <wp:posOffset>501227</wp:posOffset>
                </wp:positionV>
                <wp:extent cx="3664385" cy="787400"/>
                <wp:effectExtent l="0" t="0" r="0" b="0"/>
                <wp:wrapNone/>
                <wp:docPr id="10" name="2 Rectángulo">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microsoft.com/office/word/2010/wordprocessingShape">
                    <wps:wsp>
                      <wps:cNvSpPr/>
                      <wps:spPr>
                        <a:xfrm>
                          <a:off x="0" y="0"/>
                          <a:ext cx="3664385" cy="787400"/>
                        </a:xfrm>
                        <a:prstGeom prst="rect">
                          <a:avLst/>
                        </a:prstGeom>
                        <a:noFill/>
                      </wps:spPr>
                      <wps:txbx>
                        <w:txbxContent>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___________________________________________</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DIRECTOR DE ADMINISTRACION Y FINANZAS</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JUAN MANUEL BUSTAMANTE GONZALEZ</w:t>
                            </w:r>
                          </w:p>
                        </w:txbxContent>
                      </wps:txbx>
                      <wps:bodyPr wrap="square" lIns="91440" tIns="45720" rIns="91440" bIns="45720">
                        <a:noAutofit/>
                      </wps:bodyPr>
                    </wps:wsp>
                  </a:graphicData>
                </a:graphic>
                <wp14:sizeRelV relativeFrom="margin">
                  <wp14:pctHeight>0</wp14:pctHeight>
                </wp14:sizeRelV>
              </wp:anchor>
            </w:drawing>
          </mc:Choice>
          <mc:Fallback>
            <w:pict>
              <v:rect w14:anchorId="0838BFD4" id="_x0000_s1034" style="position:absolute;margin-left:365.3pt;margin-top:39.45pt;width:288.55pt;height: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" filled="f" stroked="f">
                <v:textbox>
                  <w:txbxContent>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___________________________________________</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DIRECTOR DE ADMINISTRACION Y FINANZAS</w:t>
                      </w:r>
                    </w:p>
                    <w:p w:rsidR="005C2DAB" w:rsidRDefault="005C2DAB" w:rsidP="005C2DAB">
                      <w:pPr>
                        <w:pStyle w:val="NormalWeb"/>
                        <w:spacing w:before="0" w:beforeAutospacing="0" w:after="0" w:afterAutospacing="0"/>
                        <w:jc w:val="center"/>
                      </w:pPr>
                      <w:r w:rsidRPr="005C2DAB">
                        <w:rPr>
                          <w:rFonts w:asciiTheme="minorHAnsi" w:hAnsi="Calibri" w:cstheme="minorBidi"/>
                          <w:color w:val="000000" w:themeColor="text1"/>
                          <w:sz w:val="22"/>
                          <w:szCs w:val="22"/>
                          <w:lang w:val="es-ES"/>
                          <w14:shadow w14:blurRad="38100" w14:dist="19050" w14:dir="2700000" w14:sx="100000" w14:sy="100000" w14:kx="0" w14:ky="0" w14:algn="tl">
                            <w14:schemeClr w14:val="dk1">
                              <w14:alpha w14:val="60000"/>
                            </w14:schemeClr>
                          </w14:shadow>
                        </w:rPr>
                        <w:t>JUAN MANUEL BUSTAMANTE GONZALEZ</w:t>
                      </w:r>
                    </w:p>
                  </w:txbxContent>
                </v:textbox>
              </v:rect>
            </w:pict>
          </mc:Fallback>
        </mc:AlternateContent>
      </w:r>
    </w:p>
    <w:sectPr w:rsidR="003F6CF3" w:rsidSect="001F184F">
      <w:pgSz w:w="15840" w:h="12240" w:orient="landscape"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37"/>
    <w:rsid w:val="00041D9D"/>
    <w:rsid w:val="001319EB"/>
    <w:rsid w:val="001F117A"/>
    <w:rsid w:val="002670FC"/>
    <w:rsid w:val="003F6CF3"/>
    <w:rsid w:val="005C2DAB"/>
    <w:rsid w:val="00657DD7"/>
    <w:rsid w:val="00982E7E"/>
    <w:rsid w:val="009D3657"/>
    <w:rsid w:val="00A2642B"/>
    <w:rsid w:val="00A32B37"/>
    <w:rsid w:val="00D166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31DE9-7727-41EA-B35D-88922813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3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B37"/>
    <w:pPr>
      <w:ind w:left="720"/>
      <w:contextualSpacing/>
    </w:pPr>
  </w:style>
  <w:style w:type="paragraph" w:styleId="NormalWeb">
    <w:name w:val="Normal (Web)"/>
    <w:basedOn w:val="Normal"/>
    <w:uiPriority w:val="99"/>
    <w:semiHidden/>
    <w:unhideWhenUsed/>
    <w:rsid w:val="00A32B37"/>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2485</Words>
  <Characters>13669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Utsma_Panteras_4</dc:creator>
  <cp:keywords/>
  <dc:description/>
  <cp:lastModifiedBy>FRANK</cp:lastModifiedBy>
  <cp:revision>2</cp:revision>
  <dcterms:created xsi:type="dcterms:W3CDTF">2024-10-31T18:47:00Z</dcterms:created>
  <dcterms:modified xsi:type="dcterms:W3CDTF">2024-10-31T18:47:00Z</dcterms:modified>
</cp:coreProperties>
</file>